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7AA70B" w14:textId="77777777" w:rsidR="005533C0" w:rsidRPr="00E417DB" w:rsidRDefault="00F113F8" w:rsidP="007E00B9">
      <w:pPr>
        <w:shd w:val="clear" w:color="000000" w:fill="auto"/>
        <w:spacing w:line="360" w:lineRule="auto"/>
        <w:jc w:val="center"/>
        <w:rPr>
          <w:rFonts w:ascii="Times New Roman" w:hAnsi="Times New Roman" w:cs="Times New Roman"/>
          <w:b/>
          <w:color w:val="auto"/>
          <w:sz w:val="24"/>
          <w:szCs w:val="24"/>
        </w:rPr>
      </w:pPr>
      <w:r w:rsidRPr="00E417DB">
        <w:rPr>
          <w:rFonts w:ascii="Times New Roman" w:hAnsi="Times New Roman"/>
          <w:b/>
          <w:color w:val="auto"/>
          <w:sz w:val="24"/>
          <w:szCs w:val="24"/>
        </w:rPr>
        <w:t>REVIEW</w:t>
      </w:r>
    </w:p>
    <w:p w14:paraId="707AA70C" w14:textId="77777777" w:rsidR="005533C0" w:rsidRPr="00E417DB" w:rsidRDefault="00F113F8" w:rsidP="007E00B9">
      <w:pPr>
        <w:shd w:val="clear" w:color="000000" w:fill="auto"/>
        <w:spacing w:line="360" w:lineRule="auto"/>
        <w:jc w:val="center"/>
        <w:rPr>
          <w:rFonts w:ascii="Times New Roman" w:hAnsi="Times New Roman" w:cs="Times New Roman"/>
          <w:b/>
          <w:color w:val="auto"/>
          <w:sz w:val="24"/>
          <w:szCs w:val="24"/>
        </w:rPr>
      </w:pPr>
      <w:proofErr w:type="gramStart"/>
      <w:r w:rsidRPr="00E417DB">
        <w:rPr>
          <w:rFonts w:ascii="Times New Roman" w:hAnsi="Times New Roman"/>
          <w:b/>
          <w:color w:val="auto"/>
          <w:sz w:val="24"/>
          <w:szCs w:val="24"/>
        </w:rPr>
        <w:t>by</w:t>
      </w:r>
      <w:proofErr w:type="gramEnd"/>
      <w:r w:rsidRPr="00E417DB">
        <w:rPr>
          <w:rFonts w:ascii="Times New Roman" w:hAnsi="Times New Roman"/>
          <w:b/>
          <w:color w:val="auto"/>
          <w:sz w:val="24"/>
          <w:szCs w:val="24"/>
        </w:rPr>
        <w:t xml:space="preserve"> </w:t>
      </w:r>
      <w:proofErr w:type="spellStart"/>
      <w:r w:rsidRPr="00E417DB">
        <w:rPr>
          <w:rFonts w:ascii="Times New Roman" w:hAnsi="Times New Roman"/>
          <w:b/>
          <w:color w:val="auto"/>
          <w:sz w:val="24"/>
          <w:szCs w:val="24"/>
        </w:rPr>
        <w:t>Petya</w:t>
      </w:r>
      <w:proofErr w:type="spellEnd"/>
      <w:r w:rsidRPr="00E417DB">
        <w:rPr>
          <w:rFonts w:ascii="Times New Roman" w:hAnsi="Times New Roman"/>
          <w:b/>
          <w:color w:val="auto"/>
          <w:sz w:val="24"/>
          <w:szCs w:val="24"/>
        </w:rPr>
        <w:t xml:space="preserve"> </w:t>
      </w:r>
      <w:proofErr w:type="spellStart"/>
      <w:r w:rsidRPr="00E417DB">
        <w:rPr>
          <w:rFonts w:ascii="Times New Roman" w:hAnsi="Times New Roman"/>
          <w:b/>
          <w:color w:val="auto"/>
          <w:sz w:val="24"/>
          <w:szCs w:val="24"/>
        </w:rPr>
        <w:t>Alexandrova</w:t>
      </w:r>
      <w:proofErr w:type="spellEnd"/>
      <w:r w:rsidRPr="00E417DB">
        <w:rPr>
          <w:rFonts w:ascii="Times New Roman" w:hAnsi="Times New Roman"/>
          <w:b/>
          <w:color w:val="auto"/>
          <w:sz w:val="24"/>
          <w:szCs w:val="24"/>
        </w:rPr>
        <w:t xml:space="preserve"> </w:t>
      </w:r>
      <w:proofErr w:type="spellStart"/>
      <w:r w:rsidRPr="00E417DB">
        <w:rPr>
          <w:rFonts w:ascii="Times New Roman" w:hAnsi="Times New Roman"/>
          <w:b/>
          <w:color w:val="auto"/>
          <w:sz w:val="24"/>
          <w:szCs w:val="24"/>
        </w:rPr>
        <w:t>Alexandrova</w:t>
      </w:r>
      <w:proofErr w:type="spellEnd"/>
    </w:p>
    <w:p w14:paraId="707AA70D" w14:textId="124D6925" w:rsidR="005533C0" w:rsidRPr="00E417DB" w:rsidRDefault="00F113F8" w:rsidP="007E00B9">
      <w:pPr>
        <w:shd w:val="clear" w:color="000000" w:fill="auto"/>
        <w:spacing w:line="360" w:lineRule="auto"/>
        <w:jc w:val="center"/>
        <w:rPr>
          <w:rFonts w:ascii="Times New Roman" w:hAnsi="Times New Roman" w:cs="Times New Roman"/>
          <w:b/>
          <w:color w:val="auto"/>
          <w:sz w:val="24"/>
          <w:szCs w:val="24"/>
        </w:rPr>
      </w:pPr>
      <w:r w:rsidRPr="00E417DB">
        <w:rPr>
          <w:rFonts w:ascii="Times New Roman" w:hAnsi="Times New Roman"/>
          <w:b/>
          <w:color w:val="auto"/>
          <w:sz w:val="24"/>
          <w:szCs w:val="24"/>
        </w:rPr>
        <w:t xml:space="preserve">Professor, Doctor of Sciences, Department of Cinema, Advertising and Show Business, </w:t>
      </w:r>
      <w:r w:rsidR="00F51D4D" w:rsidRPr="00E417DB">
        <w:rPr>
          <w:rFonts w:ascii="Times New Roman" w:hAnsi="Times New Roman"/>
          <w:b/>
          <w:color w:val="auto"/>
          <w:sz w:val="24"/>
          <w:szCs w:val="24"/>
        </w:rPr>
        <w:t xml:space="preserve">professional field </w:t>
      </w:r>
      <w:r w:rsidR="00C56138" w:rsidRPr="00E417DB">
        <w:rPr>
          <w:rFonts w:ascii="Times New Roman" w:hAnsi="Times New Roman"/>
          <w:b/>
          <w:color w:val="auto"/>
          <w:sz w:val="24"/>
          <w:szCs w:val="24"/>
        </w:rPr>
        <w:t xml:space="preserve">8.4. </w:t>
      </w:r>
      <w:proofErr w:type="spellStart"/>
      <w:r w:rsidR="00C56138" w:rsidRPr="00E417DB">
        <w:rPr>
          <w:rFonts w:ascii="Times New Roman" w:hAnsi="Times New Roman"/>
          <w:b/>
          <w:color w:val="auto"/>
          <w:sz w:val="24"/>
          <w:szCs w:val="24"/>
        </w:rPr>
        <w:t>Theat</w:t>
      </w:r>
      <w:r w:rsidR="007E00B9" w:rsidRPr="00E417DB">
        <w:rPr>
          <w:rFonts w:ascii="Times New Roman" w:hAnsi="Times New Roman"/>
          <w:b/>
          <w:color w:val="auto"/>
          <w:sz w:val="24"/>
          <w:szCs w:val="24"/>
        </w:rPr>
        <w:t>r</w:t>
      </w:r>
      <w:proofErr w:type="spellEnd"/>
      <w:r w:rsidR="00C56138" w:rsidRPr="00E417DB">
        <w:rPr>
          <w:rFonts w:ascii="Times New Roman" w:hAnsi="Times New Roman"/>
          <w:b/>
          <w:color w:val="auto"/>
          <w:sz w:val="24"/>
          <w:szCs w:val="24"/>
          <w:lang w:val="bg-BG"/>
        </w:rPr>
        <w:t>е</w:t>
      </w:r>
      <w:r w:rsidR="007E00B9" w:rsidRPr="00E417DB">
        <w:rPr>
          <w:rFonts w:ascii="Times New Roman" w:hAnsi="Times New Roman"/>
          <w:b/>
          <w:color w:val="auto"/>
          <w:sz w:val="24"/>
          <w:szCs w:val="24"/>
        </w:rPr>
        <w:t xml:space="preserve"> and Film Arts</w:t>
      </w:r>
    </w:p>
    <w:p w14:paraId="707AA70E" w14:textId="77777777" w:rsidR="005533C0" w:rsidRPr="00E417DB" w:rsidRDefault="005533C0" w:rsidP="007E00B9">
      <w:pPr>
        <w:pStyle w:val="BodyText"/>
        <w:shd w:val="clear" w:color="000000" w:fill="auto"/>
        <w:spacing w:line="360" w:lineRule="auto"/>
        <w:ind w:left="0"/>
        <w:jc w:val="both"/>
        <w:rPr>
          <w:b/>
          <w:color w:val="auto"/>
        </w:rPr>
      </w:pPr>
    </w:p>
    <w:p w14:paraId="707AA710" w14:textId="1579EBF0" w:rsidR="005533C0" w:rsidRPr="00E417DB" w:rsidRDefault="00F113F8" w:rsidP="007E00B9">
      <w:pPr>
        <w:shd w:val="clear" w:color="000000" w:fill="auto"/>
        <w:spacing w:line="360" w:lineRule="auto"/>
        <w:ind w:firstLine="426"/>
        <w:jc w:val="both"/>
        <w:rPr>
          <w:rFonts w:ascii="Times New Roman" w:hAnsi="Times New Roman" w:cs="Times New Roman"/>
          <w:b/>
          <w:color w:val="auto"/>
          <w:sz w:val="24"/>
          <w:szCs w:val="24"/>
        </w:rPr>
      </w:pPr>
      <w:r w:rsidRPr="00E417DB">
        <w:rPr>
          <w:rFonts w:ascii="Times New Roman" w:hAnsi="Times New Roman"/>
          <w:b/>
          <w:color w:val="auto"/>
          <w:sz w:val="24"/>
          <w:szCs w:val="24"/>
        </w:rPr>
        <w:t>For t</w:t>
      </w:r>
      <w:r w:rsidR="00FE6F76" w:rsidRPr="00E417DB">
        <w:rPr>
          <w:rFonts w:ascii="Times New Roman" w:hAnsi="Times New Roman"/>
          <w:b/>
          <w:color w:val="auto"/>
          <w:sz w:val="24"/>
          <w:szCs w:val="24"/>
        </w:rPr>
        <w:t>he acquisition of the educational and scientific</w:t>
      </w:r>
      <w:r w:rsidRPr="00E417DB">
        <w:rPr>
          <w:rFonts w:ascii="Times New Roman" w:hAnsi="Times New Roman"/>
          <w:b/>
          <w:color w:val="auto"/>
          <w:sz w:val="24"/>
          <w:szCs w:val="24"/>
        </w:rPr>
        <w:t xml:space="preserve"> degree </w:t>
      </w:r>
      <w:r w:rsidR="00F51D4D" w:rsidRPr="00E417DB">
        <w:rPr>
          <w:rFonts w:ascii="Times New Roman" w:hAnsi="Times New Roman"/>
          <w:b/>
          <w:color w:val="auto"/>
          <w:sz w:val="24"/>
          <w:szCs w:val="24"/>
        </w:rPr>
        <w:t>“</w:t>
      </w:r>
      <w:r w:rsidR="007E00B9" w:rsidRPr="00E417DB">
        <w:rPr>
          <w:rFonts w:ascii="Times New Roman" w:hAnsi="Times New Roman"/>
          <w:b/>
          <w:color w:val="auto"/>
          <w:sz w:val="24"/>
          <w:szCs w:val="24"/>
        </w:rPr>
        <w:t>D</w:t>
      </w:r>
      <w:r w:rsidRPr="00E417DB">
        <w:rPr>
          <w:rFonts w:ascii="Times New Roman" w:hAnsi="Times New Roman"/>
          <w:b/>
          <w:color w:val="auto"/>
          <w:sz w:val="24"/>
          <w:szCs w:val="24"/>
        </w:rPr>
        <w:t>octor</w:t>
      </w:r>
      <w:r w:rsidR="00F51D4D" w:rsidRPr="00E417DB">
        <w:rPr>
          <w:rFonts w:ascii="Times New Roman" w:hAnsi="Times New Roman"/>
          <w:b/>
          <w:color w:val="auto"/>
          <w:sz w:val="24"/>
          <w:szCs w:val="24"/>
        </w:rPr>
        <w:t>”</w:t>
      </w:r>
      <w:r w:rsidRPr="00E417DB">
        <w:rPr>
          <w:rFonts w:ascii="Times New Roman" w:hAnsi="Times New Roman"/>
          <w:b/>
          <w:color w:val="auto"/>
          <w:sz w:val="24"/>
          <w:szCs w:val="24"/>
        </w:rPr>
        <w:t xml:space="preserve"> in </w:t>
      </w:r>
      <w:r w:rsidR="00F51D4D" w:rsidRPr="00E417DB">
        <w:rPr>
          <w:rFonts w:ascii="Times New Roman" w:hAnsi="Times New Roman"/>
          <w:b/>
          <w:color w:val="auto"/>
          <w:sz w:val="24"/>
          <w:szCs w:val="24"/>
        </w:rPr>
        <w:t>professional fie</w:t>
      </w:r>
      <w:r w:rsidR="006F4714" w:rsidRPr="00E417DB">
        <w:rPr>
          <w:rFonts w:ascii="Times New Roman" w:hAnsi="Times New Roman"/>
          <w:b/>
          <w:color w:val="auto"/>
          <w:sz w:val="24"/>
          <w:szCs w:val="24"/>
        </w:rPr>
        <w:t>l</w:t>
      </w:r>
      <w:r w:rsidR="00F51D4D" w:rsidRPr="00E417DB">
        <w:rPr>
          <w:rFonts w:ascii="Times New Roman" w:hAnsi="Times New Roman"/>
          <w:b/>
          <w:color w:val="auto"/>
          <w:sz w:val="24"/>
          <w:szCs w:val="24"/>
        </w:rPr>
        <w:t>d</w:t>
      </w:r>
      <w:r w:rsidRPr="00E417DB">
        <w:rPr>
          <w:rFonts w:ascii="Times New Roman" w:hAnsi="Times New Roman"/>
          <w:b/>
          <w:color w:val="auto"/>
          <w:sz w:val="24"/>
          <w:szCs w:val="24"/>
        </w:rPr>
        <w:t xml:space="preserve"> 8.4.</w:t>
      </w:r>
      <w:r w:rsidR="00E417DB" w:rsidRPr="00E417DB">
        <w:rPr>
          <w:rFonts w:ascii="Times New Roman" w:hAnsi="Times New Roman"/>
          <w:b/>
          <w:color w:val="auto"/>
          <w:sz w:val="24"/>
          <w:szCs w:val="24"/>
        </w:rPr>
        <w:t xml:space="preserve"> </w:t>
      </w:r>
      <w:proofErr w:type="spellStart"/>
      <w:r w:rsidR="00E417DB" w:rsidRPr="00E417DB">
        <w:rPr>
          <w:rFonts w:ascii="Times New Roman" w:hAnsi="Times New Roman"/>
          <w:b/>
          <w:color w:val="auto"/>
          <w:sz w:val="24"/>
          <w:szCs w:val="24"/>
        </w:rPr>
        <w:t>Thea</w:t>
      </w:r>
      <w:r w:rsidR="00C56138" w:rsidRPr="00E417DB">
        <w:rPr>
          <w:rFonts w:ascii="Times New Roman" w:hAnsi="Times New Roman"/>
          <w:b/>
          <w:color w:val="auto"/>
          <w:sz w:val="24"/>
          <w:szCs w:val="24"/>
        </w:rPr>
        <w:t>t</w:t>
      </w:r>
      <w:r w:rsidR="007E00B9" w:rsidRPr="00E417DB">
        <w:rPr>
          <w:rFonts w:ascii="Times New Roman" w:hAnsi="Times New Roman"/>
          <w:b/>
          <w:color w:val="auto"/>
          <w:sz w:val="24"/>
          <w:szCs w:val="24"/>
        </w:rPr>
        <w:t>r</w:t>
      </w:r>
      <w:proofErr w:type="spellEnd"/>
      <w:r w:rsidR="00C56138" w:rsidRPr="00E417DB">
        <w:rPr>
          <w:rFonts w:ascii="Times New Roman" w:hAnsi="Times New Roman"/>
          <w:b/>
          <w:color w:val="auto"/>
          <w:sz w:val="24"/>
          <w:szCs w:val="24"/>
          <w:lang w:val="bg-BG"/>
        </w:rPr>
        <w:t>е</w:t>
      </w:r>
      <w:r w:rsidR="007E00B9" w:rsidRPr="00E417DB">
        <w:rPr>
          <w:rFonts w:ascii="Times New Roman" w:hAnsi="Times New Roman"/>
          <w:b/>
          <w:color w:val="auto"/>
          <w:sz w:val="24"/>
          <w:szCs w:val="24"/>
        </w:rPr>
        <w:t xml:space="preserve"> and Film Arts</w:t>
      </w:r>
      <w:r w:rsidRPr="00E417DB">
        <w:rPr>
          <w:rFonts w:ascii="Times New Roman" w:hAnsi="Times New Roman"/>
          <w:b/>
          <w:color w:val="auto"/>
          <w:sz w:val="24"/>
          <w:szCs w:val="24"/>
        </w:rPr>
        <w:t>, by Vanya Petkova, PhD st</w:t>
      </w:r>
      <w:r w:rsidR="007E00B9" w:rsidRPr="00E417DB">
        <w:rPr>
          <w:rFonts w:ascii="Times New Roman" w:hAnsi="Times New Roman"/>
          <w:b/>
          <w:color w:val="auto"/>
          <w:sz w:val="24"/>
          <w:szCs w:val="24"/>
        </w:rPr>
        <w:t>udent, New Bulgarian University</w:t>
      </w:r>
    </w:p>
    <w:p w14:paraId="707AA711" w14:textId="77777777" w:rsidR="005533C0" w:rsidRPr="00E417DB" w:rsidRDefault="005533C0" w:rsidP="007E00B9">
      <w:pPr>
        <w:pStyle w:val="BodyText"/>
        <w:shd w:val="clear" w:color="000000" w:fill="auto"/>
        <w:spacing w:line="360" w:lineRule="auto"/>
        <w:ind w:left="0" w:firstLine="426"/>
        <w:jc w:val="both"/>
        <w:rPr>
          <w:b/>
          <w:color w:val="auto"/>
          <w:lang w:val="bg-BG"/>
        </w:rPr>
      </w:pPr>
    </w:p>
    <w:p w14:paraId="707AA714" w14:textId="66ED7A84" w:rsidR="005533C0" w:rsidRPr="00E417DB" w:rsidRDefault="007E00B9" w:rsidP="007E00B9">
      <w:pPr>
        <w:pStyle w:val="BodyText"/>
        <w:shd w:val="clear" w:color="000000" w:fill="auto"/>
        <w:spacing w:line="360" w:lineRule="auto"/>
        <w:ind w:left="0" w:firstLine="426"/>
        <w:jc w:val="both"/>
        <w:rPr>
          <w:color w:val="auto"/>
        </w:rPr>
      </w:pPr>
      <w:r w:rsidRPr="00E417DB">
        <w:rPr>
          <w:b/>
          <w:color w:val="auto"/>
        </w:rPr>
        <w:t xml:space="preserve">Vanya </w:t>
      </w:r>
      <w:proofErr w:type="spellStart"/>
      <w:r w:rsidRPr="00E417DB">
        <w:rPr>
          <w:b/>
          <w:color w:val="auto"/>
        </w:rPr>
        <w:t>Petkova’</w:t>
      </w:r>
      <w:r w:rsidR="00F113F8" w:rsidRPr="00E417DB">
        <w:rPr>
          <w:b/>
          <w:color w:val="auto"/>
        </w:rPr>
        <w:t>s</w:t>
      </w:r>
      <w:proofErr w:type="spellEnd"/>
      <w:r w:rsidR="00F113F8" w:rsidRPr="00E417DB">
        <w:rPr>
          <w:b/>
          <w:color w:val="auto"/>
        </w:rPr>
        <w:t xml:space="preserve"> dissertation </w:t>
      </w:r>
      <w:r w:rsidR="00F51D4D" w:rsidRPr="00E417DB">
        <w:rPr>
          <w:b/>
          <w:color w:val="auto"/>
        </w:rPr>
        <w:t>“</w:t>
      </w:r>
      <w:r w:rsidR="00F113F8" w:rsidRPr="00E417DB">
        <w:rPr>
          <w:b/>
          <w:color w:val="auto"/>
        </w:rPr>
        <w:t xml:space="preserve">Comedy </w:t>
      </w:r>
      <w:r w:rsidR="00F51D4D" w:rsidRPr="00E417DB">
        <w:rPr>
          <w:b/>
          <w:color w:val="auto"/>
        </w:rPr>
        <w:t xml:space="preserve">under </w:t>
      </w:r>
      <w:r w:rsidR="00F113F8" w:rsidRPr="00E417DB">
        <w:rPr>
          <w:b/>
          <w:color w:val="auto"/>
        </w:rPr>
        <w:t>Socialism: Playing with the Political</w:t>
      </w:r>
      <w:r w:rsidR="00F51D4D" w:rsidRPr="00E417DB">
        <w:rPr>
          <w:b/>
          <w:color w:val="auto"/>
        </w:rPr>
        <w:t>”</w:t>
      </w:r>
      <w:r w:rsidR="00F113F8" w:rsidRPr="00E417DB">
        <w:rPr>
          <w:color w:val="auto"/>
        </w:rPr>
        <w:t xml:space="preserve"> is an important, detailed, and in-depth work, placed within the broad context of the theoretical rethinking of the culture of socialism. It begins from the author’s ambition to examine the play with the political not only as a result (sanctioning) but also as a process of becoming </w:t>
      </w:r>
      <w:r w:rsidR="00F51D4D" w:rsidRPr="00E417DB">
        <w:rPr>
          <w:color w:val="auto"/>
        </w:rPr>
        <w:t>–</w:t>
      </w:r>
      <w:r w:rsidR="00F113F8" w:rsidRPr="00E417DB">
        <w:rPr>
          <w:color w:val="auto"/>
        </w:rPr>
        <w:t xml:space="preserve"> </w:t>
      </w:r>
      <w:r w:rsidR="00F51D4D" w:rsidRPr="00E417DB">
        <w:rPr>
          <w:color w:val="auto"/>
        </w:rPr>
        <w:t>i</w:t>
      </w:r>
      <w:r w:rsidR="00F113F8" w:rsidRPr="00E417DB">
        <w:rPr>
          <w:color w:val="auto"/>
        </w:rPr>
        <w:t>n other words, how this play was regulated: by the playwright, through self-editing, and within the rehearsal process, where certain messages were reformulated in order to prevent later censorship or harsh critical reaction. The perspective is not so much from the viewpoint of powe</w:t>
      </w:r>
      <w:r w:rsidR="00C56138" w:rsidRPr="00E417DB">
        <w:rPr>
          <w:color w:val="auto"/>
        </w:rPr>
        <w:t>r, but rather from within theat</w:t>
      </w:r>
      <w:r w:rsidR="00F113F8" w:rsidRPr="00E417DB">
        <w:rPr>
          <w:color w:val="auto"/>
        </w:rPr>
        <w:t>r</w:t>
      </w:r>
      <w:r w:rsidR="00C56138" w:rsidRPr="00E417DB">
        <w:rPr>
          <w:color w:val="auto"/>
        </w:rPr>
        <w:t>e</w:t>
      </w:r>
      <w:r w:rsidR="00F113F8" w:rsidRPr="00E417DB">
        <w:rPr>
          <w:color w:val="auto"/>
        </w:rPr>
        <w:t xml:space="preserve"> circles themselves </w:t>
      </w:r>
      <w:r w:rsidR="00F51D4D" w:rsidRPr="00E417DB">
        <w:rPr>
          <w:color w:val="auto"/>
        </w:rPr>
        <w:t>–</w:t>
      </w:r>
      <w:r w:rsidR="00C56138" w:rsidRPr="00E417DB">
        <w:rPr>
          <w:color w:val="auto"/>
        </w:rPr>
        <w:t xml:space="preserve"> playwrights, directors, theat</w:t>
      </w:r>
      <w:r w:rsidR="00F113F8" w:rsidRPr="00E417DB">
        <w:rPr>
          <w:color w:val="auto"/>
        </w:rPr>
        <w:t>r</w:t>
      </w:r>
      <w:r w:rsidR="00C56138" w:rsidRPr="00E417DB">
        <w:rPr>
          <w:color w:val="auto"/>
        </w:rPr>
        <w:t>e</w:t>
      </w:r>
      <w:r w:rsidR="00F113F8" w:rsidRPr="00E417DB">
        <w:rPr>
          <w:color w:val="auto"/>
        </w:rPr>
        <w:t xml:space="preserve"> manag</w:t>
      </w:r>
      <w:r w:rsidR="00C56138" w:rsidRPr="00E417DB">
        <w:rPr>
          <w:color w:val="auto"/>
        </w:rPr>
        <w:t>ers, various commissions, theat</w:t>
      </w:r>
      <w:r w:rsidR="00F113F8" w:rsidRPr="00E417DB">
        <w:rPr>
          <w:color w:val="auto"/>
        </w:rPr>
        <w:t>r</w:t>
      </w:r>
      <w:r w:rsidR="00C56138" w:rsidRPr="00E417DB">
        <w:rPr>
          <w:color w:val="auto"/>
        </w:rPr>
        <w:t>e</w:t>
      </w:r>
      <w:r w:rsidR="00F113F8" w:rsidRPr="00E417DB">
        <w:rPr>
          <w:color w:val="auto"/>
        </w:rPr>
        <w:t xml:space="preserve"> scholars, and journalists.</w:t>
      </w:r>
    </w:p>
    <w:p w14:paraId="707AA718" w14:textId="3887ED0A"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Vanya Petkova imposes two limitations. The first is temporal, aligned with the concepts and </w:t>
      </w:r>
      <w:proofErr w:type="spellStart"/>
      <w:r w:rsidRPr="00E417DB">
        <w:rPr>
          <w:color w:val="auto"/>
        </w:rPr>
        <w:t>periodizations</w:t>
      </w:r>
      <w:proofErr w:type="spellEnd"/>
      <w:r w:rsidRPr="00E417DB">
        <w:rPr>
          <w:color w:val="auto"/>
        </w:rPr>
        <w:t xml:space="preserve"> of </w:t>
      </w:r>
      <w:proofErr w:type="spellStart"/>
      <w:r w:rsidRPr="00E417DB">
        <w:rPr>
          <w:color w:val="auto"/>
        </w:rPr>
        <w:t>Ivaylo</w:t>
      </w:r>
      <w:proofErr w:type="spellEnd"/>
      <w:r w:rsidRPr="00E417DB">
        <w:rPr>
          <w:color w:val="auto"/>
        </w:rPr>
        <w:t xml:space="preserve"> </w:t>
      </w:r>
      <w:proofErr w:type="spellStart"/>
      <w:r w:rsidRPr="00E417DB">
        <w:rPr>
          <w:color w:val="auto"/>
        </w:rPr>
        <w:t>Znepolski</w:t>
      </w:r>
      <w:proofErr w:type="spellEnd"/>
      <w:r w:rsidRPr="00E417DB">
        <w:rPr>
          <w:color w:val="auto"/>
        </w:rPr>
        <w:t xml:space="preserve"> and </w:t>
      </w:r>
      <w:proofErr w:type="spellStart"/>
      <w:r w:rsidRPr="00E417DB">
        <w:rPr>
          <w:color w:val="auto"/>
        </w:rPr>
        <w:t>Plamen</w:t>
      </w:r>
      <w:proofErr w:type="spellEnd"/>
      <w:r w:rsidRPr="00E417DB">
        <w:rPr>
          <w:color w:val="auto"/>
        </w:rPr>
        <w:t xml:space="preserve"> </w:t>
      </w:r>
      <w:proofErr w:type="spellStart"/>
      <w:r w:rsidRPr="00E417DB">
        <w:rPr>
          <w:color w:val="auto"/>
        </w:rPr>
        <w:t>Doynov</w:t>
      </w:r>
      <w:proofErr w:type="spellEnd"/>
      <w:r w:rsidRPr="00E417DB">
        <w:rPr>
          <w:color w:val="auto"/>
        </w:rPr>
        <w:t xml:space="preserve"> regarding the socialist era. Her focus is primarily on the period from the late 1960s to the mid-1980s, which </w:t>
      </w:r>
      <w:proofErr w:type="spellStart"/>
      <w:r w:rsidRPr="00E417DB">
        <w:rPr>
          <w:color w:val="auto"/>
        </w:rPr>
        <w:t>Znepolski</w:t>
      </w:r>
      <w:proofErr w:type="spellEnd"/>
      <w:r w:rsidRPr="00E417DB">
        <w:rPr>
          <w:color w:val="auto"/>
        </w:rPr>
        <w:t xml:space="preserve"> define</w:t>
      </w:r>
      <w:r w:rsidR="00083290" w:rsidRPr="00E417DB">
        <w:rPr>
          <w:color w:val="auto"/>
        </w:rPr>
        <w:t>s as a “consensual dictatorship</w:t>
      </w:r>
      <w:r w:rsidRPr="00E417DB">
        <w:rPr>
          <w:color w:val="auto"/>
        </w:rPr>
        <w:t>”</w:t>
      </w:r>
      <w:r w:rsidR="00083290" w:rsidRPr="00E417DB">
        <w:rPr>
          <w:color w:val="auto"/>
          <w:lang w:val="bg-BG"/>
        </w:rPr>
        <w:t>,</w:t>
      </w:r>
      <w:r w:rsidRPr="00E417DB">
        <w:rPr>
          <w:color w:val="auto"/>
        </w:rPr>
        <w:t xml:space="preserve"> characterized by a softer renegotiation of relations and a turn toward everyday life. The second limitation concerns genre coverage </w:t>
      </w:r>
      <w:r w:rsidR="00F51D4D" w:rsidRPr="00E417DB">
        <w:rPr>
          <w:color w:val="auto"/>
        </w:rPr>
        <w:t>–</w:t>
      </w:r>
      <w:r w:rsidRPr="00E417DB">
        <w:rPr>
          <w:color w:val="auto"/>
        </w:rPr>
        <w:t xml:space="preserve"> Petkova does not aim to trace all processes and transformations of different types of comedy, but concentrates only on comedy that she interprets</w:t>
      </w:r>
      <w:r w:rsidR="00083290" w:rsidRPr="00E417DB">
        <w:rPr>
          <w:color w:val="auto"/>
        </w:rPr>
        <w:t xml:space="preserve"> as “playing with the political</w:t>
      </w:r>
      <w:r w:rsidRPr="00E417DB">
        <w:rPr>
          <w:color w:val="auto"/>
        </w:rPr>
        <w:t>”</w:t>
      </w:r>
      <w:r w:rsidR="00083290" w:rsidRPr="00E417DB">
        <w:rPr>
          <w:color w:val="auto"/>
          <w:lang w:val="bg-BG"/>
        </w:rPr>
        <w:t>.</w:t>
      </w:r>
      <w:r w:rsidRPr="00E417DB">
        <w:rPr>
          <w:color w:val="auto"/>
        </w:rPr>
        <w:t xml:space="preserve"> This partly explains her specific choices of works by </w:t>
      </w:r>
      <w:proofErr w:type="spellStart"/>
      <w:r w:rsidRPr="00E417DB">
        <w:rPr>
          <w:color w:val="auto"/>
        </w:rPr>
        <w:t>Georgi</w:t>
      </w:r>
      <w:proofErr w:type="spellEnd"/>
      <w:r w:rsidRPr="00E417DB">
        <w:rPr>
          <w:color w:val="auto"/>
        </w:rPr>
        <w:t xml:space="preserve"> Markov, </w:t>
      </w:r>
      <w:proofErr w:type="spellStart"/>
      <w:r w:rsidRPr="00E417DB">
        <w:rPr>
          <w:color w:val="auto"/>
        </w:rPr>
        <w:t>Yordan</w:t>
      </w:r>
      <w:proofErr w:type="spellEnd"/>
      <w:r w:rsidRPr="00E417DB">
        <w:rPr>
          <w:color w:val="auto"/>
        </w:rPr>
        <w:t xml:space="preserve"> </w:t>
      </w:r>
      <w:proofErr w:type="spellStart"/>
      <w:r w:rsidRPr="00E417DB">
        <w:rPr>
          <w:color w:val="auto"/>
        </w:rPr>
        <w:t>Radichkov</w:t>
      </w:r>
      <w:proofErr w:type="spellEnd"/>
      <w:r w:rsidRPr="00E417DB">
        <w:rPr>
          <w:color w:val="auto"/>
        </w:rPr>
        <w:t xml:space="preserve">, Stanislav </w:t>
      </w:r>
      <w:proofErr w:type="spellStart"/>
      <w:r w:rsidRPr="00E417DB">
        <w:rPr>
          <w:color w:val="auto"/>
        </w:rPr>
        <w:t>Stratiev</w:t>
      </w:r>
      <w:proofErr w:type="spellEnd"/>
      <w:r w:rsidRPr="00E417DB">
        <w:rPr>
          <w:color w:val="auto"/>
        </w:rPr>
        <w:t xml:space="preserve">, and Ivan </w:t>
      </w:r>
      <w:proofErr w:type="spellStart"/>
      <w:r w:rsidRPr="00E417DB">
        <w:rPr>
          <w:color w:val="auto"/>
        </w:rPr>
        <w:t>Radoev</w:t>
      </w:r>
      <w:proofErr w:type="spellEnd"/>
      <w:r w:rsidRPr="00E417DB">
        <w:rPr>
          <w:color w:val="auto"/>
        </w:rPr>
        <w:t>, and the omission of other works or authors from the analysis.</w:t>
      </w:r>
    </w:p>
    <w:p w14:paraId="747ACDFF" w14:textId="1B9D0BA6" w:rsidR="00321DEB" w:rsidRPr="00E417DB" w:rsidRDefault="00F113F8" w:rsidP="00E63466">
      <w:pPr>
        <w:pStyle w:val="BodyText"/>
        <w:shd w:val="clear" w:color="000000" w:fill="auto"/>
        <w:spacing w:line="360" w:lineRule="auto"/>
        <w:ind w:left="0" w:firstLine="426"/>
        <w:jc w:val="both"/>
        <w:rPr>
          <w:color w:val="auto"/>
        </w:rPr>
      </w:pPr>
      <w:r w:rsidRPr="00E417DB">
        <w:rPr>
          <w:color w:val="auto"/>
        </w:rPr>
        <w:t>The dissertation spans 340 pages, structured into chapters, introduction, epilogue, conclusion, and bibliography.</w:t>
      </w:r>
    </w:p>
    <w:p w14:paraId="707AA71B" w14:textId="24DE0537"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Immediately noticeable is the very clear structure of the text, which precisely formulates the candidate’s goals and tasks.</w:t>
      </w:r>
    </w:p>
    <w:p w14:paraId="707AA723" w14:textId="164D87A0" w:rsidR="005533C0" w:rsidRPr="00E417DB" w:rsidRDefault="00F113F8" w:rsidP="007E00B9">
      <w:pPr>
        <w:pStyle w:val="BodyText"/>
        <w:shd w:val="clear" w:color="000000" w:fill="auto"/>
        <w:spacing w:line="360" w:lineRule="auto"/>
        <w:ind w:left="0" w:firstLine="426"/>
        <w:jc w:val="both"/>
        <w:rPr>
          <w:color w:val="auto"/>
        </w:rPr>
      </w:pPr>
      <w:r w:rsidRPr="00E417DB">
        <w:rPr>
          <w:b/>
          <w:bCs/>
          <w:color w:val="auto"/>
        </w:rPr>
        <w:t>The introduction</w:t>
      </w:r>
      <w:r w:rsidRPr="00E417DB">
        <w:rPr>
          <w:color w:val="auto"/>
        </w:rPr>
        <w:t xml:space="preserve"> defines the object (comedy in the socialist era), the subject (its relations with the political through play), the goals (dimensions of this play, analysis through case studies and playwrights), and the research tasks. The introduction, however, is somewhat overloaded with methodological clarifications. The preferred approach is connected with including the </w:t>
      </w:r>
      <w:r w:rsidRPr="00E417DB">
        <w:rPr>
          <w:color w:val="auto"/>
        </w:rPr>
        <w:lastRenderedPageBreak/>
        <w:t>productions themselves, where they were realized, not only in dramaturgical terms but also in staging terms. The research does not confine itself solely to censored plays in the sense of those never staged, removed from the repertoire, or denied access, since this would limit the potential for broader observations. When particular cases are examined, the emphasis is not so much on why they were censored, but on how. The primary focus is on the re</w:t>
      </w:r>
      <w:r w:rsidR="00C56138" w:rsidRPr="00E417DB">
        <w:rPr>
          <w:color w:val="auto"/>
        </w:rPr>
        <w:t>pertoire of the Satirical Theat</w:t>
      </w:r>
      <w:r w:rsidRPr="00E417DB">
        <w:rPr>
          <w:color w:val="auto"/>
        </w:rPr>
        <w:t>r</w:t>
      </w:r>
      <w:r w:rsidR="00C56138" w:rsidRPr="00E417DB">
        <w:rPr>
          <w:color w:val="auto"/>
        </w:rPr>
        <w:t>e</w:t>
      </w:r>
      <w:r w:rsidRPr="00E417DB">
        <w:rPr>
          <w:color w:val="auto"/>
        </w:rPr>
        <w:t xml:space="preserve">, which is also the best studied. This is followed by explanations of why, alongside Stanislav </w:t>
      </w:r>
      <w:proofErr w:type="spellStart"/>
      <w:r w:rsidRPr="00E417DB">
        <w:rPr>
          <w:color w:val="auto"/>
        </w:rPr>
        <w:t>Stratiev</w:t>
      </w:r>
      <w:proofErr w:type="spellEnd"/>
      <w:r w:rsidRPr="00E417DB">
        <w:rPr>
          <w:color w:val="auto"/>
        </w:rPr>
        <w:t xml:space="preserve"> and Ivan </w:t>
      </w:r>
      <w:proofErr w:type="spellStart"/>
      <w:r w:rsidRPr="00E417DB">
        <w:rPr>
          <w:color w:val="auto"/>
        </w:rPr>
        <w:t>Radoev</w:t>
      </w:r>
      <w:proofErr w:type="spellEnd"/>
      <w:r w:rsidRPr="00E417DB">
        <w:rPr>
          <w:color w:val="auto"/>
        </w:rPr>
        <w:t xml:space="preserve">, </w:t>
      </w:r>
      <w:proofErr w:type="spellStart"/>
      <w:r w:rsidRPr="00E417DB">
        <w:rPr>
          <w:color w:val="auto"/>
        </w:rPr>
        <w:t>Radoy</w:t>
      </w:r>
      <w:proofErr w:type="spellEnd"/>
      <w:r w:rsidRPr="00E417DB">
        <w:rPr>
          <w:color w:val="auto"/>
        </w:rPr>
        <w:t xml:space="preserve"> </w:t>
      </w:r>
      <w:proofErr w:type="spellStart"/>
      <w:r w:rsidRPr="00E417DB">
        <w:rPr>
          <w:color w:val="auto"/>
        </w:rPr>
        <w:t>Ralin</w:t>
      </w:r>
      <w:proofErr w:type="spellEnd"/>
      <w:r w:rsidRPr="00E417DB">
        <w:rPr>
          <w:color w:val="auto"/>
        </w:rPr>
        <w:t xml:space="preserve"> and </w:t>
      </w:r>
      <w:proofErr w:type="spellStart"/>
      <w:r w:rsidRPr="00E417DB">
        <w:rPr>
          <w:color w:val="auto"/>
        </w:rPr>
        <w:t>Georgi</w:t>
      </w:r>
      <w:proofErr w:type="spellEnd"/>
      <w:r w:rsidRPr="00E417DB">
        <w:rPr>
          <w:color w:val="auto"/>
        </w:rPr>
        <w:t xml:space="preserve"> Markov are included, as well as which texts may be regarded as comedies, and which versions and editions of the plays are available. The chosen methodology belongs pred</w:t>
      </w:r>
      <w:r w:rsidR="00C56138" w:rsidRPr="00E417DB">
        <w:rPr>
          <w:color w:val="auto"/>
        </w:rPr>
        <w:t>ominantly to the field of theat</w:t>
      </w:r>
      <w:r w:rsidRPr="00E417DB">
        <w:rPr>
          <w:color w:val="auto"/>
        </w:rPr>
        <w:t>r</w:t>
      </w:r>
      <w:r w:rsidR="00C56138" w:rsidRPr="00E417DB">
        <w:rPr>
          <w:color w:val="auto"/>
        </w:rPr>
        <w:t>e</w:t>
      </w:r>
      <w:r w:rsidRPr="00E417DB">
        <w:rPr>
          <w:color w:val="auto"/>
        </w:rPr>
        <w:t xml:space="preserve"> historiography, with a conscientious review of previous studies on the subject by other authors during and after socialism.</w:t>
      </w:r>
    </w:p>
    <w:p w14:paraId="707AA729" w14:textId="1337701E" w:rsidR="005533C0" w:rsidRPr="00E417DB" w:rsidRDefault="00F113F8" w:rsidP="007E00B9">
      <w:pPr>
        <w:pStyle w:val="BodyText"/>
        <w:shd w:val="clear" w:color="000000" w:fill="auto"/>
        <w:spacing w:line="360" w:lineRule="auto"/>
        <w:ind w:left="0" w:firstLine="426"/>
        <w:jc w:val="both"/>
        <w:rPr>
          <w:color w:val="auto"/>
          <w:lang w:val="bg-BG"/>
        </w:rPr>
      </w:pPr>
      <w:r w:rsidRPr="00E417DB">
        <w:rPr>
          <w:b/>
          <w:bCs/>
          <w:color w:val="auto"/>
        </w:rPr>
        <w:t>Chapter One</w:t>
      </w:r>
      <w:r w:rsidRPr="00E417DB">
        <w:rPr>
          <w:color w:val="auto"/>
        </w:rPr>
        <w:t xml:space="preserve"> focuses on the context, the social base, an</w:t>
      </w:r>
      <w:r w:rsidR="006F4714" w:rsidRPr="00E417DB">
        <w:rPr>
          <w:color w:val="auto"/>
        </w:rPr>
        <w:t>d the “corruption of the masses</w:t>
      </w:r>
      <w:r w:rsidRPr="00E417DB">
        <w:rPr>
          <w:color w:val="auto"/>
        </w:rPr>
        <w:t>”</w:t>
      </w:r>
      <w:r w:rsidR="006F4714" w:rsidRPr="00E417DB">
        <w:rPr>
          <w:color w:val="auto"/>
          <w:lang w:val="bg-BG"/>
        </w:rPr>
        <w:t>.</w:t>
      </w:r>
      <w:r w:rsidRPr="00E417DB">
        <w:rPr>
          <w:color w:val="auto"/>
        </w:rPr>
        <w:t xml:space="preserve"> Vanya Petkova begins from the premise that during the half-century rule of the Communist Party, neither the regime nor society remained static. The first period covers the time from September 9, 1944, to the mid-1960s, when “the existing structures of bourgeois society were destroyed and a tendency emerged for society to be absorbed by the state. Behavior and social relations were entirely shaped by</w:t>
      </w:r>
      <w:r w:rsidR="006F4714" w:rsidRPr="00E417DB">
        <w:rPr>
          <w:color w:val="auto"/>
        </w:rPr>
        <w:t xml:space="preserve"> terror and fear</w:t>
      </w:r>
      <w:r w:rsidRPr="00E417DB">
        <w:rPr>
          <w:color w:val="auto"/>
        </w:rPr>
        <w:t>”</w:t>
      </w:r>
      <w:r w:rsidR="006F4714" w:rsidRPr="00E417DB">
        <w:rPr>
          <w:color w:val="auto"/>
          <w:lang w:val="bg-BG"/>
        </w:rPr>
        <w:t>.</w:t>
      </w:r>
      <w:r w:rsidRPr="00E417DB">
        <w:rPr>
          <w:color w:val="auto"/>
        </w:rPr>
        <w:t xml:space="preserve"> The second period covers the late 1960s to the mid-1980s, when “the regime softened and attention w</w:t>
      </w:r>
      <w:r w:rsidR="006F4714" w:rsidRPr="00E417DB">
        <w:rPr>
          <w:color w:val="auto"/>
        </w:rPr>
        <w:t>as focused on everyday problems</w:t>
      </w:r>
      <w:r w:rsidRPr="00E417DB">
        <w:rPr>
          <w:color w:val="auto"/>
        </w:rPr>
        <w:t>”</w:t>
      </w:r>
      <w:r w:rsidR="006F4714" w:rsidRPr="00E417DB">
        <w:rPr>
          <w:color w:val="auto"/>
          <w:lang w:val="bg-BG"/>
        </w:rPr>
        <w:t>.</w:t>
      </w:r>
      <w:r w:rsidRPr="00E417DB">
        <w:rPr>
          <w:color w:val="auto"/>
        </w:rPr>
        <w:t xml:space="preserve"> The third period encompasses the final years before the fall of the Berlin Wall (coinciding with perestroika and glasnost in the Soviet Union) and is characterized by a “gradual ch</w:t>
      </w:r>
      <w:r w:rsidR="006F4714" w:rsidRPr="00E417DB">
        <w:rPr>
          <w:color w:val="auto"/>
        </w:rPr>
        <w:t>ange in the means of domination</w:t>
      </w:r>
      <w:r w:rsidRPr="00E417DB">
        <w:rPr>
          <w:color w:val="auto"/>
        </w:rPr>
        <w:t>”</w:t>
      </w:r>
      <w:r w:rsidR="006F4714" w:rsidRPr="00E417DB">
        <w:rPr>
          <w:color w:val="auto"/>
          <w:lang w:val="bg-BG"/>
        </w:rPr>
        <w:t>,</w:t>
      </w:r>
      <w:r w:rsidRPr="00E417DB">
        <w:rPr>
          <w:color w:val="auto"/>
        </w:rPr>
        <w:t xml:space="preserve"> with the cracking of the consensus that had functioned during the previous two decades. Part of this “cracking” is the “striving for the emancipat</w:t>
      </w:r>
      <w:r w:rsidR="006F4714" w:rsidRPr="00E417DB">
        <w:rPr>
          <w:color w:val="auto"/>
        </w:rPr>
        <w:t>ion of society</w:t>
      </w:r>
      <w:r w:rsidRPr="00E417DB">
        <w:rPr>
          <w:color w:val="auto"/>
        </w:rPr>
        <w:t>”</w:t>
      </w:r>
      <w:r w:rsidR="006F4714" w:rsidRPr="00E417DB">
        <w:rPr>
          <w:color w:val="auto"/>
          <w:lang w:val="bg-BG"/>
        </w:rPr>
        <w:t>.</w:t>
      </w:r>
    </w:p>
    <w:p w14:paraId="707AA732" w14:textId="5D00C2FD" w:rsidR="005533C0" w:rsidRPr="00E417DB" w:rsidRDefault="00F113F8" w:rsidP="0004585C">
      <w:pPr>
        <w:pStyle w:val="BodyText"/>
        <w:shd w:val="clear" w:color="000000" w:fill="auto"/>
        <w:spacing w:line="360" w:lineRule="auto"/>
        <w:ind w:left="0" w:firstLine="426"/>
        <w:jc w:val="both"/>
        <w:rPr>
          <w:color w:val="auto"/>
        </w:rPr>
      </w:pPr>
      <w:r w:rsidRPr="00E417DB">
        <w:rPr>
          <w:color w:val="auto"/>
        </w:rPr>
        <w:t xml:space="preserve">The context of artistic development at this time could not bypass the method of socialist realism, with its three pillars: the theme of contemporaneity, the hero, and struggle </w:t>
      </w:r>
      <w:r w:rsidR="00F51D4D" w:rsidRPr="00E417DB">
        <w:rPr>
          <w:color w:val="auto"/>
        </w:rPr>
        <w:t>–</w:t>
      </w:r>
      <w:r w:rsidRPr="00E417DB">
        <w:rPr>
          <w:color w:val="auto"/>
        </w:rPr>
        <w:t xml:space="preserve"> all of which were crucial for dramaturgy throughout the entire period. The “positive hero” turned out to be the most vulnerable element of the method. In the dissertation, the specifics of the theatrical field are traced and outlined, both in terms of the interactions and attempts to shift the boundaries of socialist realism through debates (such as those concerning theatrical convention, the place of Brecht and Stanislavski, etc.), and through its regulatory bodies. Various definitions of the field and the mechanisms of censorship are examined, as well as the gestures of resistance.</w:t>
      </w:r>
      <w:r w:rsidR="00C56138" w:rsidRPr="00E417DB">
        <w:rPr>
          <w:color w:val="auto"/>
        </w:rPr>
        <w:t xml:space="preserve"> The theat</w:t>
      </w:r>
      <w:r w:rsidRPr="00E417DB">
        <w:rPr>
          <w:color w:val="auto"/>
        </w:rPr>
        <w:t>r</w:t>
      </w:r>
      <w:r w:rsidR="00C56138" w:rsidRPr="00E417DB">
        <w:rPr>
          <w:color w:val="auto"/>
        </w:rPr>
        <w:t>e</w:t>
      </w:r>
      <w:r w:rsidRPr="00E417DB">
        <w:rPr>
          <w:color w:val="auto"/>
        </w:rPr>
        <w:t xml:space="preserve"> infrastructure and its functions are presented, along with the various National Drama Reviews, articles containing recommendations and evaluations </w:t>
      </w:r>
      <w:r w:rsidR="00F51D4D" w:rsidRPr="00E417DB">
        <w:rPr>
          <w:color w:val="auto"/>
        </w:rPr>
        <w:t>–</w:t>
      </w:r>
      <w:r w:rsidRPr="00E417DB">
        <w:rPr>
          <w:color w:val="auto"/>
        </w:rPr>
        <w:t xml:space="preserve"> all manifestations of censorship, in their different variations as reactions to overstepped boundaries, which in turn generated conflicts. Vanya Petkova adheres to </w:t>
      </w:r>
      <w:proofErr w:type="spellStart"/>
      <w:r w:rsidRPr="00E417DB">
        <w:rPr>
          <w:color w:val="auto"/>
        </w:rPr>
        <w:t>Plamen</w:t>
      </w:r>
      <w:proofErr w:type="spellEnd"/>
      <w:r w:rsidRPr="00E417DB">
        <w:rPr>
          <w:color w:val="auto"/>
        </w:rPr>
        <w:t xml:space="preserve"> </w:t>
      </w:r>
      <w:proofErr w:type="spellStart"/>
      <w:r w:rsidRPr="00E417DB">
        <w:rPr>
          <w:color w:val="auto"/>
        </w:rPr>
        <w:t>Doynov’s</w:t>
      </w:r>
      <w:proofErr w:type="spellEnd"/>
      <w:r w:rsidRPr="00E417DB">
        <w:rPr>
          <w:color w:val="auto"/>
        </w:rPr>
        <w:t xml:space="preserve"> division of c</w:t>
      </w:r>
      <w:r w:rsidR="008479BA" w:rsidRPr="00E417DB">
        <w:rPr>
          <w:color w:val="auto"/>
        </w:rPr>
        <w:t>ensorship into “pre-publication</w:t>
      </w:r>
      <w:r w:rsidRPr="00E417DB">
        <w:rPr>
          <w:color w:val="auto"/>
        </w:rPr>
        <w:t>”</w:t>
      </w:r>
      <w:r w:rsidR="008479BA" w:rsidRPr="00E417DB">
        <w:rPr>
          <w:color w:val="auto"/>
          <w:lang w:val="bg-BG"/>
        </w:rPr>
        <w:t>,</w:t>
      </w:r>
      <w:r w:rsidR="00083290" w:rsidRPr="00E417DB">
        <w:rPr>
          <w:color w:val="auto"/>
        </w:rPr>
        <w:t xml:space="preserve"> “post-publication</w:t>
      </w:r>
      <w:r w:rsidRPr="00E417DB">
        <w:rPr>
          <w:color w:val="auto"/>
        </w:rPr>
        <w:t>”</w:t>
      </w:r>
      <w:r w:rsidR="00083290" w:rsidRPr="00E417DB">
        <w:rPr>
          <w:color w:val="auto"/>
          <w:lang w:val="bg-BG"/>
        </w:rPr>
        <w:t>,</w:t>
      </w:r>
      <w:r w:rsidRPr="00E417DB">
        <w:rPr>
          <w:color w:val="auto"/>
        </w:rPr>
        <w:t xml:space="preserve"> and “internalized </w:t>
      </w:r>
      <w:r w:rsidR="00083290" w:rsidRPr="00E417DB">
        <w:rPr>
          <w:color w:val="auto"/>
        </w:rPr>
        <w:lastRenderedPageBreak/>
        <w:t>censorship</w:t>
      </w:r>
      <w:r w:rsidRPr="00E417DB">
        <w:rPr>
          <w:color w:val="auto"/>
        </w:rPr>
        <w:t>”</w:t>
      </w:r>
      <w:r w:rsidR="00083290" w:rsidRPr="00E417DB">
        <w:rPr>
          <w:color w:val="auto"/>
          <w:lang w:val="bg-BG"/>
        </w:rPr>
        <w:t>.</w:t>
      </w:r>
      <w:r w:rsidRPr="00E417DB">
        <w:rPr>
          <w:color w:val="auto"/>
        </w:rPr>
        <w:t xml:space="preserve"> She also exam</w:t>
      </w:r>
      <w:r w:rsidR="0004585C" w:rsidRPr="00E417DB">
        <w:rPr>
          <w:color w:val="auto"/>
        </w:rPr>
        <w:t>ines the perception of “doubles</w:t>
      </w:r>
      <w:r w:rsidRPr="00E417DB">
        <w:rPr>
          <w:color w:val="auto"/>
        </w:rPr>
        <w:t>”</w:t>
      </w:r>
      <w:r w:rsidR="0004585C" w:rsidRPr="00E417DB">
        <w:rPr>
          <w:color w:val="auto"/>
          <w:lang w:val="bg-BG"/>
        </w:rPr>
        <w:t>,</w:t>
      </w:r>
      <w:r w:rsidRPr="00E417DB">
        <w:rPr>
          <w:color w:val="auto"/>
        </w:rPr>
        <w:t xml:space="preserve"> imaginary resemblance as a strategy </w:t>
      </w:r>
      <w:r w:rsidR="00F51D4D" w:rsidRPr="00E417DB">
        <w:rPr>
          <w:color w:val="auto"/>
        </w:rPr>
        <w:t>–</w:t>
      </w:r>
      <w:r w:rsidRPr="00E417DB">
        <w:rPr>
          <w:color w:val="auto"/>
        </w:rPr>
        <w:t xml:space="preserve"> doubling being recognized as a parodic image of figures of power (as in </w:t>
      </w:r>
      <w:proofErr w:type="spellStart"/>
      <w:r w:rsidRPr="00E417DB">
        <w:rPr>
          <w:i/>
          <w:color w:val="auto"/>
        </w:rPr>
        <w:t>Machovo</w:t>
      </w:r>
      <w:proofErr w:type="spellEnd"/>
      <w:r w:rsidRPr="00E417DB">
        <w:rPr>
          <w:i/>
          <w:color w:val="auto"/>
        </w:rPr>
        <w:t xml:space="preserve"> </w:t>
      </w:r>
      <w:proofErr w:type="spellStart"/>
      <w:r w:rsidRPr="00E417DB">
        <w:rPr>
          <w:i/>
          <w:color w:val="auto"/>
        </w:rPr>
        <w:t>Bardo</w:t>
      </w:r>
      <w:proofErr w:type="spellEnd"/>
      <w:r w:rsidRPr="00E417DB">
        <w:rPr>
          <w:color w:val="auto"/>
        </w:rPr>
        <w:t xml:space="preserve"> (1964) by </w:t>
      </w:r>
      <w:proofErr w:type="spellStart"/>
      <w:r w:rsidRPr="00E417DB">
        <w:rPr>
          <w:color w:val="auto"/>
        </w:rPr>
        <w:t>Miro</w:t>
      </w:r>
      <w:r w:rsidR="00C56138" w:rsidRPr="00E417DB">
        <w:rPr>
          <w:color w:val="auto"/>
        </w:rPr>
        <w:t>n</w:t>
      </w:r>
      <w:proofErr w:type="spellEnd"/>
      <w:r w:rsidR="00C56138" w:rsidRPr="00E417DB">
        <w:rPr>
          <w:color w:val="auto"/>
        </w:rPr>
        <w:t xml:space="preserve"> Ivanov at the Satirical Theat</w:t>
      </w:r>
      <w:r w:rsidRPr="00E417DB">
        <w:rPr>
          <w:color w:val="auto"/>
        </w:rPr>
        <w:t>r</w:t>
      </w:r>
      <w:r w:rsidR="00C56138" w:rsidRPr="00E417DB">
        <w:rPr>
          <w:color w:val="auto"/>
        </w:rPr>
        <w:t>e</w:t>
      </w:r>
      <w:r w:rsidRPr="00E417DB">
        <w:rPr>
          <w:color w:val="auto"/>
        </w:rPr>
        <w:t xml:space="preserve">, with the character of </w:t>
      </w:r>
      <w:proofErr w:type="spellStart"/>
      <w:r w:rsidRPr="00E417DB">
        <w:rPr>
          <w:color w:val="auto"/>
        </w:rPr>
        <w:t>Kalyu</w:t>
      </w:r>
      <w:proofErr w:type="spellEnd"/>
      <w:r w:rsidRPr="00E417DB">
        <w:rPr>
          <w:color w:val="auto"/>
        </w:rPr>
        <w:t xml:space="preserve"> </w:t>
      </w:r>
      <w:proofErr w:type="spellStart"/>
      <w:r w:rsidRPr="00E417DB">
        <w:rPr>
          <w:color w:val="auto"/>
        </w:rPr>
        <w:t>Yanchev</w:t>
      </w:r>
      <w:proofErr w:type="spellEnd"/>
      <w:r w:rsidRPr="00E417DB">
        <w:rPr>
          <w:color w:val="auto"/>
        </w:rPr>
        <w:t xml:space="preserve">). </w:t>
      </w:r>
      <w:r w:rsidRPr="00E417DB">
        <w:rPr>
          <w:i/>
          <w:color w:val="auto"/>
        </w:rPr>
        <w:t>Improvisation</w:t>
      </w:r>
      <w:r w:rsidRPr="00E417DB">
        <w:rPr>
          <w:color w:val="auto"/>
        </w:rPr>
        <w:t xml:space="preserve"> (1962) by </w:t>
      </w:r>
      <w:proofErr w:type="spellStart"/>
      <w:r w:rsidRPr="00E417DB">
        <w:rPr>
          <w:color w:val="auto"/>
        </w:rPr>
        <w:t>Valeri</w:t>
      </w:r>
      <w:proofErr w:type="spellEnd"/>
      <w:r w:rsidRPr="00E417DB">
        <w:rPr>
          <w:color w:val="auto"/>
        </w:rPr>
        <w:t xml:space="preserve"> </w:t>
      </w:r>
      <w:proofErr w:type="spellStart"/>
      <w:r w:rsidRPr="00E417DB">
        <w:rPr>
          <w:color w:val="auto"/>
        </w:rPr>
        <w:t>Petrov</w:t>
      </w:r>
      <w:proofErr w:type="spellEnd"/>
      <w:r w:rsidRPr="00E417DB">
        <w:rPr>
          <w:color w:val="auto"/>
        </w:rPr>
        <w:t xml:space="preserve"> and </w:t>
      </w:r>
      <w:proofErr w:type="spellStart"/>
      <w:r w:rsidRPr="00E417DB">
        <w:rPr>
          <w:color w:val="auto"/>
        </w:rPr>
        <w:t>Radoy</w:t>
      </w:r>
      <w:proofErr w:type="spellEnd"/>
      <w:r w:rsidRPr="00E417DB">
        <w:rPr>
          <w:color w:val="auto"/>
        </w:rPr>
        <w:t xml:space="preserve"> </w:t>
      </w:r>
      <w:proofErr w:type="spellStart"/>
      <w:r w:rsidRPr="00E417DB">
        <w:rPr>
          <w:color w:val="auto"/>
        </w:rPr>
        <w:t>Ralin</w:t>
      </w:r>
      <w:proofErr w:type="spellEnd"/>
      <w:r w:rsidRPr="00E417DB">
        <w:rPr>
          <w:color w:val="auto"/>
        </w:rPr>
        <w:t xml:space="preserve"> also allows for aspects of doubling to be recognized. Within this “dramaturgy of everyday life</w:t>
      </w:r>
      <w:r w:rsidR="007403A9" w:rsidRPr="00E417DB">
        <w:rPr>
          <w:color w:val="auto"/>
        </w:rPr>
        <w:t>” and the “hero taken from life</w:t>
      </w:r>
      <w:r w:rsidRPr="00E417DB">
        <w:rPr>
          <w:color w:val="auto"/>
        </w:rPr>
        <w:t>”</w:t>
      </w:r>
      <w:r w:rsidR="007403A9" w:rsidRPr="00E417DB">
        <w:rPr>
          <w:color w:val="auto"/>
          <w:lang w:val="bg-BG"/>
        </w:rPr>
        <w:t>,</w:t>
      </w:r>
      <w:r w:rsidRPr="00E417DB">
        <w:rPr>
          <w:color w:val="auto"/>
        </w:rPr>
        <w:t xml:space="preserve"> the Aesopian language provided opportunities to be associated with resistance, which led to a contextual overuse of metaphor.</w:t>
      </w:r>
    </w:p>
    <w:p w14:paraId="707AA737" w14:textId="3F195ED6" w:rsidR="005533C0" w:rsidRPr="00E417DB" w:rsidRDefault="00F113F8" w:rsidP="008479BA">
      <w:pPr>
        <w:pStyle w:val="BodyText"/>
        <w:shd w:val="clear" w:color="000000" w:fill="auto"/>
        <w:spacing w:line="360" w:lineRule="auto"/>
        <w:ind w:left="0" w:firstLine="426"/>
        <w:jc w:val="both"/>
        <w:rPr>
          <w:color w:val="auto"/>
        </w:rPr>
      </w:pPr>
      <w:r w:rsidRPr="00E417DB">
        <w:rPr>
          <w:b/>
          <w:bCs/>
          <w:color w:val="auto"/>
        </w:rPr>
        <w:t>Chapter Two</w:t>
      </w:r>
      <w:r w:rsidRPr="00E417DB">
        <w:rPr>
          <w:color w:val="auto"/>
        </w:rPr>
        <w:t xml:space="preserve"> focuses primarily on the reference points through which the political backbone of comedy is forged, as well as on the politics of laughter, which intersect in th</w:t>
      </w:r>
      <w:r w:rsidR="006F4714" w:rsidRPr="00E417DB">
        <w:rPr>
          <w:color w:val="auto"/>
        </w:rPr>
        <w:t>e phenomenon of “state laughter</w:t>
      </w:r>
      <w:r w:rsidRPr="00E417DB">
        <w:rPr>
          <w:color w:val="auto"/>
        </w:rPr>
        <w:t>”</w:t>
      </w:r>
      <w:r w:rsidR="006F4714" w:rsidRPr="00E417DB">
        <w:rPr>
          <w:color w:val="auto"/>
          <w:lang w:val="bg-BG"/>
        </w:rPr>
        <w:t>.</w:t>
      </w:r>
      <w:r w:rsidRPr="00E417DB">
        <w:rPr>
          <w:color w:val="auto"/>
        </w:rPr>
        <w:t xml:space="preserve"> Comedy is constantly under threat of its own existence; it is a “deadly” genre. In the first period, </w:t>
      </w:r>
      <w:r w:rsidR="006F4714" w:rsidRPr="00E417DB">
        <w:rPr>
          <w:color w:val="auto"/>
        </w:rPr>
        <w:t>it was “on behalf of the people</w:t>
      </w:r>
      <w:r w:rsidRPr="00E417DB">
        <w:rPr>
          <w:color w:val="auto"/>
        </w:rPr>
        <w:t>”</w:t>
      </w:r>
      <w:r w:rsidR="006F4714" w:rsidRPr="00E417DB">
        <w:rPr>
          <w:color w:val="auto"/>
          <w:lang w:val="bg-BG"/>
        </w:rPr>
        <w:t>.</w:t>
      </w:r>
      <w:r w:rsidRPr="00E417DB">
        <w:rPr>
          <w:color w:val="auto"/>
        </w:rPr>
        <w:t xml:space="preserve"> After the April Plenum, there was a desire to fill in the gaps in the genres, but despite the liberalization of the 1960s, this did not materialize. By the 1970s, comedy had beco</w:t>
      </w:r>
      <w:r w:rsidR="006F4714" w:rsidRPr="00E417DB">
        <w:rPr>
          <w:color w:val="auto"/>
        </w:rPr>
        <w:t>me “in the name of the audience</w:t>
      </w:r>
      <w:r w:rsidRPr="00E417DB">
        <w:rPr>
          <w:color w:val="auto"/>
        </w:rPr>
        <w:t>”</w:t>
      </w:r>
      <w:r w:rsidR="006F4714" w:rsidRPr="00E417DB">
        <w:rPr>
          <w:color w:val="auto"/>
          <w:lang w:val="bg-BG"/>
        </w:rPr>
        <w:t>.</w:t>
      </w:r>
      <w:r w:rsidRPr="00E417DB">
        <w:rPr>
          <w:color w:val="auto"/>
        </w:rPr>
        <w:t xml:space="preserve"> This irregularity and illegitimacy in time parallels the essence of humor itself, which arises from incongruity, from excess, distortion, or displacement. The plays embody and play with the double, the ambiguous, with distance and antithesis; moreover, they are marked by the same ambiguity in the public discourse about them. They move between </w:t>
      </w:r>
      <w:r w:rsidR="006F4714" w:rsidRPr="00E417DB">
        <w:rPr>
          <w:color w:val="auto"/>
        </w:rPr>
        <w:t>“</w:t>
      </w:r>
      <w:r w:rsidRPr="00E417DB">
        <w:rPr>
          <w:color w:val="auto"/>
        </w:rPr>
        <w:t>state laughter</w:t>
      </w:r>
      <w:r w:rsidR="006F4714" w:rsidRPr="00E417DB">
        <w:rPr>
          <w:color w:val="auto"/>
        </w:rPr>
        <w:t>”</w:t>
      </w:r>
      <w:r w:rsidRPr="00E417DB">
        <w:rPr>
          <w:color w:val="auto"/>
        </w:rPr>
        <w:t xml:space="preserve"> (from the position of the authority, the one who generates laughter) and non-laughter (liberating, subversive laughter).</w:t>
      </w:r>
      <w:r w:rsidR="008479BA" w:rsidRPr="00E417DB">
        <w:rPr>
          <w:color w:val="auto"/>
          <w:lang w:val="bg-BG"/>
        </w:rPr>
        <w:t xml:space="preserve"> </w:t>
      </w:r>
      <w:r w:rsidRPr="00E417DB">
        <w:rPr>
          <w:color w:val="auto"/>
        </w:rPr>
        <w:t>The author traces the movement from humor to satire as a state commis</w:t>
      </w:r>
      <w:r w:rsidR="007E00B9" w:rsidRPr="00E417DB">
        <w:rPr>
          <w:color w:val="auto"/>
        </w:rPr>
        <w:t xml:space="preserve">sion (for example, the article </w:t>
      </w:r>
      <w:r w:rsidRPr="00E417DB">
        <w:rPr>
          <w:i/>
          <w:color w:val="auto"/>
        </w:rPr>
        <w:t>Satire – a Party Weapon</w:t>
      </w:r>
      <w:r w:rsidRPr="00E417DB">
        <w:rPr>
          <w:color w:val="auto"/>
        </w:rPr>
        <w:t xml:space="preserve"> (1968), or </w:t>
      </w:r>
      <w:proofErr w:type="spellStart"/>
      <w:r w:rsidRPr="00E417DB">
        <w:rPr>
          <w:color w:val="auto"/>
        </w:rPr>
        <w:t>Todor</w:t>
      </w:r>
      <w:proofErr w:type="spellEnd"/>
      <w:r w:rsidRPr="00E417DB">
        <w:rPr>
          <w:color w:val="auto"/>
        </w:rPr>
        <w:t xml:space="preserve"> </w:t>
      </w:r>
      <w:proofErr w:type="spellStart"/>
      <w:r w:rsidRPr="00E417DB">
        <w:rPr>
          <w:color w:val="auto"/>
        </w:rPr>
        <w:t>Zhivkov’s</w:t>
      </w:r>
      <w:proofErr w:type="spellEnd"/>
      <w:r w:rsidRPr="00E417DB">
        <w:rPr>
          <w:color w:val="auto"/>
        </w:rPr>
        <w:t xml:space="preserve"> speech at the Confer</w:t>
      </w:r>
      <w:r w:rsidR="007E00B9" w:rsidRPr="00E417DB">
        <w:rPr>
          <w:color w:val="auto"/>
        </w:rPr>
        <w:t>ence on Humor and Satire (1974)</w:t>
      </w:r>
      <w:r w:rsidRPr="00E417DB">
        <w:rPr>
          <w:color w:val="auto"/>
        </w:rPr>
        <w:t>.</w:t>
      </w:r>
    </w:p>
    <w:p w14:paraId="707AA73B" w14:textId="28010320"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Within this chapter, the “case” of </w:t>
      </w:r>
      <w:r w:rsidRPr="00E417DB">
        <w:rPr>
          <w:i/>
          <w:color w:val="auto"/>
        </w:rPr>
        <w:t>Improvisation</w:t>
      </w:r>
      <w:r w:rsidRPr="00E417DB">
        <w:rPr>
          <w:color w:val="auto"/>
        </w:rPr>
        <w:t xml:space="preserve"> is included (representing an escalation from cheerful, harmless hu</w:t>
      </w:r>
      <w:r w:rsidR="00C56138" w:rsidRPr="00E417DB">
        <w:rPr>
          <w:color w:val="auto"/>
        </w:rPr>
        <w:t>mor), while the Satirical Theat</w:t>
      </w:r>
      <w:r w:rsidRPr="00E417DB">
        <w:rPr>
          <w:color w:val="auto"/>
        </w:rPr>
        <w:t>r</w:t>
      </w:r>
      <w:r w:rsidR="00C56138" w:rsidRPr="00E417DB">
        <w:rPr>
          <w:color w:val="auto"/>
        </w:rPr>
        <w:t>e</w:t>
      </w:r>
      <w:r w:rsidRPr="00E417DB">
        <w:rPr>
          <w:color w:val="auto"/>
        </w:rPr>
        <w:t xml:space="preserve"> (founded in 1957) is</w:t>
      </w:r>
      <w:r w:rsidR="006F4714" w:rsidRPr="00E417DB">
        <w:rPr>
          <w:color w:val="auto"/>
        </w:rPr>
        <w:t xml:space="preserve"> seen as the “place of laughter</w:t>
      </w:r>
      <w:r w:rsidRPr="00E417DB">
        <w:rPr>
          <w:color w:val="auto"/>
        </w:rPr>
        <w:t>”</w:t>
      </w:r>
      <w:r w:rsidR="006F4714" w:rsidRPr="00E417DB">
        <w:rPr>
          <w:color w:val="auto"/>
        </w:rPr>
        <w:t>.</w:t>
      </w:r>
      <w:r w:rsidRPr="00E417DB">
        <w:rPr>
          <w:color w:val="auto"/>
        </w:rPr>
        <w:t xml:space="preserve"> From here, the discrepancy between the genre-bas</w:t>
      </w:r>
      <w:r w:rsidR="00C56138" w:rsidRPr="00E417DB">
        <w:rPr>
          <w:color w:val="auto"/>
        </w:rPr>
        <w:t>ed mandate with which the theat</w:t>
      </w:r>
      <w:r w:rsidRPr="00E417DB">
        <w:rPr>
          <w:color w:val="auto"/>
        </w:rPr>
        <w:t>r</w:t>
      </w:r>
      <w:r w:rsidR="00C56138" w:rsidRPr="00E417DB">
        <w:rPr>
          <w:color w:val="auto"/>
        </w:rPr>
        <w:t>e</w:t>
      </w:r>
      <w:r w:rsidRPr="00E417DB">
        <w:rPr>
          <w:color w:val="auto"/>
        </w:rPr>
        <w:t xml:space="preserve"> was created and the impossibility of keeping one of the first satirically oriented comedies in its repertoire is problematized. A telling det</w:t>
      </w:r>
      <w:r w:rsidR="00C56138" w:rsidRPr="00E417DB">
        <w:rPr>
          <w:color w:val="auto"/>
        </w:rPr>
        <w:t>ail is that the Satirical Theat</w:t>
      </w:r>
      <w:r w:rsidRPr="00E417DB">
        <w:rPr>
          <w:color w:val="auto"/>
        </w:rPr>
        <w:t>r</w:t>
      </w:r>
      <w:r w:rsidR="00C56138" w:rsidRPr="00E417DB">
        <w:rPr>
          <w:color w:val="auto"/>
        </w:rPr>
        <w:t>e</w:t>
      </w:r>
      <w:r w:rsidRPr="00E417DB">
        <w:rPr>
          <w:color w:val="auto"/>
        </w:rPr>
        <w:t xml:space="preserve"> was inaugurated not with a Bulgarian play, but with </w:t>
      </w:r>
      <w:proofErr w:type="spellStart"/>
      <w:r w:rsidRPr="00E417DB">
        <w:rPr>
          <w:color w:val="auto"/>
        </w:rPr>
        <w:t>Mayakovsky’s</w:t>
      </w:r>
      <w:proofErr w:type="spellEnd"/>
      <w:r w:rsidRPr="00E417DB">
        <w:rPr>
          <w:color w:val="auto"/>
        </w:rPr>
        <w:t xml:space="preserve"> </w:t>
      </w:r>
      <w:r w:rsidRPr="00E417DB">
        <w:rPr>
          <w:i/>
          <w:color w:val="auto"/>
        </w:rPr>
        <w:t>The Bathhouse</w:t>
      </w:r>
      <w:r w:rsidRPr="00E417DB">
        <w:rPr>
          <w:color w:val="auto"/>
        </w:rPr>
        <w:t>.</w:t>
      </w:r>
    </w:p>
    <w:p w14:paraId="707AA73D" w14:textId="65254447"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At the end of the chapter, the mechanisms of removing absurdist plays from the re</w:t>
      </w:r>
      <w:r w:rsidR="00C56138" w:rsidRPr="00E417DB">
        <w:rPr>
          <w:color w:val="auto"/>
        </w:rPr>
        <w:t>pertoire of the Satirical Theat</w:t>
      </w:r>
      <w:r w:rsidRPr="00E417DB">
        <w:rPr>
          <w:color w:val="auto"/>
        </w:rPr>
        <w:t>r</w:t>
      </w:r>
      <w:r w:rsidR="00C56138" w:rsidRPr="00E417DB">
        <w:rPr>
          <w:color w:val="auto"/>
        </w:rPr>
        <w:t>e</w:t>
      </w:r>
      <w:r w:rsidRPr="00E417DB">
        <w:rPr>
          <w:color w:val="auto"/>
        </w:rPr>
        <w:t xml:space="preserve"> are discussed, and </w:t>
      </w:r>
      <w:proofErr w:type="spellStart"/>
      <w:r w:rsidRPr="00E417DB">
        <w:rPr>
          <w:color w:val="auto"/>
        </w:rPr>
        <w:t>absurdism</w:t>
      </w:r>
      <w:proofErr w:type="spellEnd"/>
      <w:r w:rsidRPr="00E417DB">
        <w:rPr>
          <w:color w:val="auto"/>
        </w:rPr>
        <w:t xml:space="preserve"> itself is problematized as part of the broader ideological front in its absence-presence (no productions, but articles about it). A key discovery is the analysis of the non-realizati</w:t>
      </w:r>
      <w:r w:rsidR="007E00B9" w:rsidRPr="00E417DB">
        <w:rPr>
          <w:color w:val="auto"/>
        </w:rPr>
        <w:t xml:space="preserve">on of a production based on </w:t>
      </w:r>
      <w:proofErr w:type="spellStart"/>
      <w:r w:rsidR="007E00B9" w:rsidRPr="00E417DB">
        <w:rPr>
          <w:color w:val="auto"/>
        </w:rPr>
        <w:t>Mroz</w:t>
      </w:r>
      <w:r w:rsidRPr="00E417DB">
        <w:rPr>
          <w:color w:val="auto"/>
        </w:rPr>
        <w:t>ek</w:t>
      </w:r>
      <w:proofErr w:type="spellEnd"/>
      <w:r w:rsidRPr="00E417DB">
        <w:rPr>
          <w:color w:val="auto"/>
        </w:rPr>
        <w:t xml:space="preserve"> through </w:t>
      </w:r>
      <w:proofErr w:type="spellStart"/>
      <w:r w:rsidRPr="00E417DB">
        <w:rPr>
          <w:color w:val="auto"/>
        </w:rPr>
        <w:t>absurdism</w:t>
      </w:r>
      <w:proofErr w:type="spellEnd"/>
      <w:r w:rsidRPr="00E417DB">
        <w:rPr>
          <w:color w:val="auto"/>
        </w:rPr>
        <w:t xml:space="preserve">, as well as the rejection of the absurd by </w:t>
      </w:r>
      <w:proofErr w:type="spellStart"/>
      <w:r w:rsidRPr="00E417DB">
        <w:rPr>
          <w:color w:val="auto"/>
        </w:rPr>
        <w:t>Radoev</w:t>
      </w:r>
      <w:proofErr w:type="spellEnd"/>
      <w:r w:rsidRPr="00E417DB">
        <w:rPr>
          <w:color w:val="auto"/>
        </w:rPr>
        <w:t xml:space="preserve"> and </w:t>
      </w:r>
      <w:proofErr w:type="spellStart"/>
      <w:r w:rsidRPr="00E417DB">
        <w:rPr>
          <w:color w:val="auto"/>
        </w:rPr>
        <w:t>Stratiev</w:t>
      </w:r>
      <w:proofErr w:type="spellEnd"/>
      <w:r w:rsidRPr="00E417DB">
        <w:rPr>
          <w:color w:val="auto"/>
        </w:rPr>
        <w:t xml:space="preserve"> </w:t>
      </w:r>
      <w:r w:rsidR="00F51D4D" w:rsidRPr="00E417DB">
        <w:rPr>
          <w:color w:val="auto"/>
        </w:rPr>
        <w:t>–</w:t>
      </w:r>
      <w:r w:rsidRPr="00E417DB">
        <w:rPr>
          <w:color w:val="auto"/>
        </w:rPr>
        <w:t xml:space="preserve"> albeit at a later stage. In this cont</w:t>
      </w:r>
      <w:r w:rsidR="003E19C3" w:rsidRPr="00E417DB">
        <w:rPr>
          <w:color w:val="auto"/>
        </w:rPr>
        <w:t>ext, more appropriately in the E</w:t>
      </w:r>
      <w:r w:rsidRPr="00E417DB">
        <w:rPr>
          <w:color w:val="auto"/>
        </w:rPr>
        <w:t>pilogue, is the discussion of how shifts in meaning occur when an old production is staged in a new environment (</w:t>
      </w:r>
      <w:r w:rsidRPr="00E417DB">
        <w:rPr>
          <w:i/>
          <w:color w:val="auto"/>
        </w:rPr>
        <w:t>Emigrants</w:t>
      </w:r>
      <w:r w:rsidRPr="00E417DB">
        <w:rPr>
          <w:color w:val="auto"/>
        </w:rPr>
        <w:t>).</w:t>
      </w:r>
    </w:p>
    <w:p w14:paraId="707AA73F" w14:textId="00277E62" w:rsidR="005533C0" w:rsidRPr="00E417DB" w:rsidRDefault="00F113F8" w:rsidP="007E00B9">
      <w:pPr>
        <w:shd w:val="clear" w:color="000000" w:fill="auto"/>
        <w:spacing w:line="360" w:lineRule="auto"/>
        <w:ind w:firstLine="426"/>
        <w:jc w:val="both"/>
        <w:rPr>
          <w:rFonts w:ascii="Times New Roman" w:hAnsi="Times New Roman" w:cs="Times New Roman"/>
          <w:color w:val="auto"/>
          <w:sz w:val="24"/>
          <w:szCs w:val="24"/>
        </w:rPr>
      </w:pPr>
      <w:r w:rsidRPr="00E417DB">
        <w:rPr>
          <w:rFonts w:ascii="Times New Roman" w:hAnsi="Times New Roman"/>
          <w:b/>
          <w:color w:val="auto"/>
          <w:sz w:val="24"/>
          <w:szCs w:val="24"/>
        </w:rPr>
        <w:t>Chapter Three</w:t>
      </w:r>
      <w:r w:rsidRPr="00E417DB">
        <w:rPr>
          <w:rFonts w:ascii="Times New Roman" w:hAnsi="Times New Roman"/>
          <w:color w:val="auto"/>
          <w:sz w:val="24"/>
          <w:szCs w:val="24"/>
        </w:rPr>
        <w:t xml:space="preserve"> traces the images, resemblances, and discrepancies in several specific </w:t>
      </w:r>
      <w:r w:rsidRPr="00E417DB">
        <w:rPr>
          <w:rFonts w:ascii="Times New Roman" w:hAnsi="Times New Roman"/>
          <w:color w:val="auto"/>
          <w:sz w:val="24"/>
          <w:szCs w:val="24"/>
        </w:rPr>
        <w:lastRenderedPageBreak/>
        <w:t xml:space="preserve">comedies by five playwrights: </w:t>
      </w:r>
      <w:proofErr w:type="spellStart"/>
      <w:r w:rsidRPr="00E417DB">
        <w:rPr>
          <w:rFonts w:ascii="Times New Roman" w:hAnsi="Times New Roman"/>
          <w:color w:val="auto"/>
          <w:sz w:val="24"/>
          <w:szCs w:val="24"/>
        </w:rPr>
        <w:t>Georgi</w:t>
      </w:r>
      <w:proofErr w:type="spellEnd"/>
      <w:r w:rsidRPr="00E417DB">
        <w:rPr>
          <w:rFonts w:ascii="Times New Roman" w:hAnsi="Times New Roman"/>
          <w:color w:val="auto"/>
          <w:sz w:val="24"/>
          <w:szCs w:val="24"/>
        </w:rPr>
        <w:t xml:space="preserve"> Markov, </w:t>
      </w:r>
      <w:proofErr w:type="spellStart"/>
      <w:r w:rsidRPr="00E417DB">
        <w:rPr>
          <w:rFonts w:ascii="Times New Roman" w:hAnsi="Times New Roman"/>
          <w:color w:val="auto"/>
          <w:sz w:val="24"/>
          <w:szCs w:val="24"/>
        </w:rPr>
        <w:t>Yordan</w:t>
      </w:r>
      <w:proofErr w:type="spellEnd"/>
      <w:r w:rsidRPr="00E417DB">
        <w:rPr>
          <w:rFonts w:ascii="Times New Roman" w:hAnsi="Times New Roman"/>
          <w:color w:val="auto"/>
          <w:sz w:val="24"/>
          <w:szCs w:val="24"/>
        </w:rPr>
        <w:t xml:space="preserve"> </w:t>
      </w:r>
      <w:proofErr w:type="spellStart"/>
      <w:r w:rsidRPr="00E417DB">
        <w:rPr>
          <w:rFonts w:ascii="Times New Roman" w:hAnsi="Times New Roman"/>
          <w:color w:val="auto"/>
          <w:sz w:val="24"/>
          <w:szCs w:val="24"/>
        </w:rPr>
        <w:t>Radichkov</w:t>
      </w:r>
      <w:proofErr w:type="spellEnd"/>
      <w:r w:rsidRPr="00E417DB">
        <w:rPr>
          <w:rFonts w:ascii="Times New Roman" w:hAnsi="Times New Roman"/>
          <w:color w:val="auto"/>
          <w:sz w:val="24"/>
          <w:szCs w:val="24"/>
        </w:rPr>
        <w:t xml:space="preserve">, </w:t>
      </w:r>
      <w:proofErr w:type="spellStart"/>
      <w:r w:rsidRPr="00E417DB">
        <w:rPr>
          <w:rFonts w:ascii="Times New Roman" w:hAnsi="Times New Roman"/>
          <w:color w:val="auto"/>
          <w:sz w:val="24"/>
          <w:szCs w:val="24"/>
        </w:rPr>
        <w:t>Radoy</w:t>
      </w:r>
      <w:proofErr w:type="spellEnd"/>
      <w:r w:rsidRPr="00E417DB">
        <w:rPr>
          <w:rFonts w:ascii="Times New Roman" w:hAnsi="Times New Roman"/>
          <w:color w:val="auto"/>
          <w:sz w:val="24"/>
          <w:szCs w:val="24"/>
        </w:rPr>
        <w:t xml:space="preserve"> </w:t>
      </w:r>
      <w:proofErr w:type="spellStart"/>
      <w:r w:rsidRPr="00E417DB">
        <w:rPr>
          <w:rFonts w:ascii="Times New Roman" w:hAnsi="Times New Roman"/>
          <w:color w:val="auto"/>
          <w:sz w:val="24"/>
          <w:szCs w:val="24"/>
        </w:rPr>
        <w:t>Ralin</w:t>
      </w:r>
      <w:proofErr w:type="spellEnd"/>
      <w:r w:rsidRPr="00E417DB">
        <w:rPr>
          <w:rFonts w:ascii="Times New Roman" w:hAnsi="Times New Roman"/>
          <w:color w:val="auto"/>
          <w:sz w:val="24"/>
          <w:szCs w:val="24"/>
        </w:rPr>
        <w:t xml:space="preserve">, Stanislav </w:t>
      </w:r>
      <w:proofErr w:type="spellStart"/>
      <w:r w:rsidRPr="00E417DB">
        <w:rPr>
          <w:rFonts w:ascii="Times New Roman" w:hAnsi="Times New Roman"/>
          <w:color w:val="auto"/>
          <w:sz w:val="24"/>
          <w:szCs w:val="24"/>
        </w:rPr>
        <w:t>Stratiev</w:t>
      </w:r>
      <w:proofErr w:type="spellEnd"/>
      <w:r w:rsidRPr="00E417DB">
        <w:rPr>
          <w:rFonts w:ascii="Times New Roman" w:hAnsi="Times New Roman"/>
          <w:color w:val="auto"/>
          <w:sz w:val="24"/>
          <w:szCs w:val="24"/>
        </w:rPr>
        <w:t xml:space="preserve"> and Ivan </w:t>
      </w:r>
      <w:proofErr w:type="spellStart"/>
      <w:r w:rsidRPr="00E417DB">
        <w:rPr>
          <w:rFonts w:ascii="Times New Roman" w:hAnsi="Times New Roman"/>
          <w:color w:val="auto"/>
          <w:sz w:val="24"/>
          <w:szCs w:val="24"/>
        </w:rPr>
        <w:t>Radoev</w:t>
      </w:r>
      <w:proofErr w:type="spellEnd"/>
      <w:r w:rsidRPr="00E417DB">
        <w:rPr>
          <w:rFonts w:ascii="Times New Roman" w:hAnsi="Times New Roman"/>
          <w:color w:val="auto"/>
          <w:sz w:val="24"/>
          <w:szCs w:val="24"/>
        </w:rPr>
        <w:t>.</w:t>
      </w:r>
    </w:p>
    <w:p w14:paraId="707AA741" w14:textId="024578FB"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The entry point is the genre, but the investigation of how these comedies interact with the political goes beyond genre analysis: their re</w:t>
      </w:r>
      <w:r w:rsidR="00422CB8" w:rsidRPr="00E417DB">
        <w:rPr>
          <w:color w:val="auto"/>
        </w:rPr>
        <w:t>lationship with “state laughter</w:t>
      </w:r>
      <w:r w:rsidRPr="00E417DB">
        <w:rPr>
          <w:color w:val="auto"/>
        </w:rPr>
        <w:t>”</w:t>
      </w:r>
      <w:r w:rsidR="00422CB8" w:rsidRPr="00E417DB">
        <w:rPr>
          <w:color w:val="auto"/>
        </w:rPr>
        <w:t>,</w:t>
      </w:r>
      <w:r w:rsidRPr="00E417DB">
        <w:rPr>
          <w:color w:val="auto"/>
        </w:rPr>
        <w:t xml:space="preserve"> the deviations from the method of socialist realism via the unstable figure of the positive hero, the ways they were received, and the reviews that followed are all examined.</w:t>
      </w:r>
    </w:p>
    <w:p w14:paraId="707AA744" w14:textId="2BFA1034" w:rsidR="005533C0" w:rsidRPr="00E417DB" w:rsidRDefault="00F113F8" w:rsidP="008479BA">
      <w:pPr>
        <w:pStyle w:val="BodyText"/>
        <w:shd w:val="clear" w:color="000000" w:fill="auto"/>
        <w:spacing w:line="360" w:lineRule="auto"/>
        <w:ind w:left="0" w:firstLine="426"/>
        <w:jc w:val="both"/>
        <w:rPr>
          <w:color w:val="auto"/>
          <w:lang w:val="bg-BG"/>
        </w:rPr>
      </w:pPr>
      <w:r w:rsidRPr="00E417DB">
        <w:rPr>
          <w:color w:val="auto"/>
        </w:rPr>
        <w:t xml:space="preserve">For </w:t>
      </w:r>
      <w:proofErr w:type="spellStart"/>
      <w:r w:rsidRPr="00E417DB">
        <w:rPr>
          <w:color w:val="auto"/>
        </w:rPr>
        <w:t>Georgi</w:t>
      </w:r>
      <w:proofErr w:type="spellEnd"/>
      <w:r w:rsidRPr="00E417DB">
        <w:rPr>
          <w:color w:val="auto"/>
        </w:rPr>
        <w:t xml:space="preserve"> Markov, the focus is on how the authorities read him </w:t>
      </w:r>
      <w:r w:rsidR="00F51D4D" w:rsidRPr="00E417DB">
        <w:rPr>
          <w:color w:val="auto"/>
        </w:rPr>
        <w:t>–</w:t>
      </w:r>
      <w:r w:rsidRPr="00E417DB">
        <w:rPr>
          <w:color w:val="auto"/>
        </w:rPr>
        <w:t xml:space="preserve"> their voice is directly heard. </w:t>
      </w:r>
      <w:proofErr w:type="spellStart"/>
      <w:r w:rsidRPr="00E417DB">
        <w:rPr>
          <w:color w:val="auto"/>
        </w:rPr>
        <w:t>Yordan</w:t>
      </w:r>
      <w:proofErr w:type="spellEnd"/>
      <w:r w:rsidRPr="00E417DB">
        <w:rPr>
          <w:color w:val="auto"/>
        </w:rPr>
        <w:t xml:space="preserve"> </w:t>
      </w:r>
      <w:proofErr w:type="spellStart"/>
      <w:r w:rsidRPr="00E417DB">
        <w:rPr>
          <w:color w:val="auto"/>
        </w:rPr>
        <w:t>Radichkov</w:t>
      </w:r>
      <w:proofErr w:type="spellEnd"/>
      <w:r w:rsidRPr="00E417DB">
        <w:rPr>
          <w:color w:val="auto"/>
        </w:rPr>
        <w:t xml:space="preserve"> generated incomprehension with his </w:t>
      </w:r>
      <w:r w:rsidR="00C56138" w:rsidRPr="00E417DB">
        <w:rPr>
          <w:color w:val="auto"/>
        </w:rPr>
        <w:t>“</w:t>
      </w:r>
      <w:proofErr w:type="spellStart"/>
      <w:r w:rsidR="00C56138" w:rsidRPr="00E417DB">
        <w:rPr>
          <w:color w:val="auto"/>
        </w:rPr>
        <w:t>horo</w:t>
      </w:r>
      <w:proofErr w:type="spellEnd"/>
      <w:r w:rsidR="00C56138" w:rsidRPr="00E417DB">
        <w:rPr>
          <w:color w:val="auto"/>
        </w:rPr>
        <w:t xml:space="preserve"> dance in the theat</w:t>
      </w:r>
      <w:r w:rsidR="0009291F" w:rsidRPr="00E417DB">
        <w:rPr>
          <w:color w:val="auto"/>
        </w:rPr>
        <w:t>r</w:t>
      </w:r>
      <w:r w:rsidR="00C56138" w:rsidRPr="00E417DB">
        <w:rPr>
          <w:color w:val="auto"/>
        </w:rPr>
        <w:t>e</w:t>
      </w:r>
      <w:r w:rsidR="0009291F" w:rsidRPr="00E417DB">
        <w:rPr>
          <w:color w:val="auto"/>
        </w:rPr>
        <w:t xml:space="preserve"> hall</w:t>
      </w:r>
      <w:r w:rsidRPr="00E417DB">
        <w:rPr>
          <w:color w:val="auto"/>
        </w:rPr>
        <w:t>”</w:t>
      </w:r>
      <w:r w:rsidR="0009291F" w:rsidRPr="00E417DB">
        <w:rPr>
          <w:color w:val="auto"/>
        </w:rPr>
        <w:t>,</w:t>
      </w:r>
      <w:r w:rsidRPr="00E417DB">
        <w:rPr>
          <w:color w:val="auto"/>
        </w:rPr>
        <w:t xml:space="preserve"> though not doubt about his correctness, since he appeared ideologically neutral.</w:t>
      </w:r>
      <w:r w:rsidR="008479BA" w:rsidRPr="00E417DB">
        <w:rPr>
          <w:color w:val="auto"/>
          <w:lang w:val="bg-BG"/>
        </w:rPr>
        <w:t xml:space="preserve"> </w:t>
      </w:r>
      <w:r w:rsidRPr="00E417DB">
        <w:rPr>
          <w:color w:val="auto"/>
        </w:rPr>
        <w:t xml:space="preserve">This explains the multitude of abstract definitions for his plays </w:t>
      </w:r>
      <w:r w:rsidR="00F51D4D" w:rsidRPr="00E417DB">
        <w:rPr>
          <w:color w:val="auto"/>
        </w:rPr>
        <w:t>–</w:t>
      </w:r>
      <w:r w:rsidRPr="00E417DB">
        <w:rPr>
          <w:color w:val="auto"/>
        </w:rPr>
        <w:t xml:space="preserve"> carnival, </w:t>
      </w:r>
      <w:proofErr w:type="spellStart"/>
      <w:r w:rsidRPr="00E417DB">
        <w:rPr>
          <w:color w:val="auto"/>
        </w:rPr>
        <w:t>kukeri</w:t>
      </w:r>
      <w:proofErr w:type="spellEnd"/>
      <w:r w:rsidRPr="00E417DB">
        <w:rPr>
          <w:color w:val="auto"/>
        </w:rPr>
        <w:t xml:space="preserve"> mask, boisterous procession. </w:t>
      </w:r>
      <w:proofErr w:type="spellStart"/>
      <w:r w:rsidRPr="00E417DB">
        <w:rPr>
          <w:color w:val="auto"/>
        </w:rPr>
        <w:t>Radoy</w:t>
      </w:r>
      <w:proofErr w:type="spellEnd"/>
      <w:r w:rsidRPr="00E417DB">
        <w:rPr>
          <w:color w:val="auto"/>
        </w:rPr>
        <w:t xml:space="preserve"> </w:t>
      </w:r>
      <w:proofErr w:type="spellStart"/>
      <w:r w:rsidRPr="00E417DB">
        <w:rPr>
          <w:color w:val="auto"/>
        </w:rPr>
        <w:t>Ralin</w:t>
      </w:r>
      <w:proofErr w:type="spellEnd"/>
      <w:r w:rsidRPr="00E417DB">
        <w:rPr>
          <w:color w:val="auto"/>
        </w:rPr>
        <w:t xml:space="preserve"> parodied ideological clichés, but in the very language of power itself; his emphasis was entirely on improvisation. The analysis includes quotes from interviews, especially his survey with </w:t>
      </w:r>
      <w:proofErr w:type="spellStart"/>
      <w:r w:rsidRPr="00E417DB">
        <w:rPr>
          <w:color w:val="auto"/>
        </w:rPr>
        <w:t>Vihren</w:t>
      </w:r>
      <w:proofErr w:type="spellEnd"/>
      <w:r w:rsidRPr="00E417DB">
        <w:rPr>
          <w:color w:val="auto"/>
        </w:rPr>
        <w:t xml:space="preserve"> </w:t>
      </w:r>
      <w:proofErr w:type="spellStart"/>
      <w:r w:rsidRPr="00E417DB">
        <w:rPr>
          <w:color w:val="auto"/>
        </w:rPr>
        <w:t>Chernokozhev</w:t>
      </w:r>
      <w:proofErr w:type="spellEnd"/>
      <w:r w:rsidRPr="00E417DB">
        <w:rPr>
          <w:color w:val="auto"/>
        </w:rPr>
        <w:t xml:space="preserve">. Stanislav </w:t>
      </w:r>
      <w:proofErr w:type="spellStart"/>
      <w:r w:rsidRPr="00E417DB">
        <w:rPr>
          <w:color w:val="auto"/>
        </w:rPr>
        <w:t>Stratiev</w:t>
      </w:r>
      <w:proofErr w:type="spellEnd"/>
      <w:r w:rsidRPr="00E417DB">
        <w:rPr>
          <w:color w:val="auto"/>
        </w:rPr>
        <w:t xml:space="preserve"> moved from the feuilleton to strengthen humor in his plays. The analysis focuses particularly on The Bus and its three different productions. Ivan </w:t>
      </w:r>
      <w:proofErr w:type="spellStart"/>
      <w:r w:rsidRPr="00E417DB">
        <w:rPr>
          <w:color w:val="auto"/>
        </w:rPr>
        <w:t>Radoev</w:t>
      </w:r>
      <w:proofErr w:type="spellEnd"/>
      <w:r w:rsidRPr="00E417DB">
        <w:rPr>
          <w:color w:val="auto"/>
        </w:rPr>
        <w:t xml:space="preserve"> was the author without a genre, faithful to life through inventio</w:t>
      </w:r>
      <w:r w:rsidR="008479BA" w:rsidRPr="00E417DB">
        <w:rPr>
          <w:color w:val="auto"/>
        </w:rPr>
        <w:t>n, inserting an “absurd realism</w:t>
      </w:r>
      <w:r w:rsidRPr="00E417DB">
        <w:rPr>
          <w:color w:val="auto"/>
        </w:rPr>
        <w:t>”</w:t>
      </w:r>
      <w:r w:rsidR="008479BA" w:rsidRPr="00E417DB">
        <w:rPr>
          <w:color w:val="auto"/>
          <w:lang w:val="bg-BG"/>
        </w:rPr>
        <w:t>.</w:t>
      </w:r>
    </w:p>
    <w:p w14:paraId="707AA74A" w14:textId="09056418"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This chapter, the most extensive and concrete in terms of analysis, offers fine observations on each author. For Markov: his placement in context (e.g. the positive hero with four faces, </w:t>
      </w:r>
      <w:proofErr w:type="spellStart"/>
      <w:r w:rsidRPr="00E417DB">
        <w:rPr>
          <w:color w:val="auto"/>
        </w:rPr>
        <w:t>Astarov</w:t>
      </w:r>
      <w:proofErr w:type="spellEnd"/>
      <w:r w:rsidRPr="00E417DB">
        <w:rPr>
          <w:color w:val="auto"/>
        </w:rPr>
        <w:t xml:space="preserve">, from </w:t>
      </w:r>
      <w:r w:rsidRPr="00E417DB">
        <w:rPr>
          <w:i/>
          <w:color w:val="auto"/>
        </w:rPr>
        <w:t>The Lady of Mr. Cheese Merchant</w:t>
      </w:r>
      <w:r w:rsidRPr="00E417DB">
        <w:rPr>
          <w:color w:val="auto"/>
        </w:rPr>
        <w:t>); the concept of “two a</w:t>
      </w:r>
      <w:r w:rsidR="0009291F" w:rsidRPr="00E417DB">
        <w:rPr>
          <w:color w:val="auto"/>
        </w:rPr>
        <w:t>cts</w:t>
      </w:r>
      <w:r w:rsidRPr="00E417DB">
        <w:rPr>
          <w:color w:val="auto"/>
        </w:rPr>
        <w:t>”</w:t>
      </w:r>
      <w:r w:rsidR="0009291F" w:rsidRPr="00E417DB">
        <w:rPr>
          <w:color w:val="auto"/>
        </w:rPr>
        <w:t>,</w:t>
      </w:r>
      <w:r w:rsidRPr="00E417DB">
        <w:rPr>
          <w:color w:val="auto"/>
        </w:rPr>
        <w:t xml:space="preserve"> where the second overturns the first; the accounts of artistic councils regarding </w:t>
      </w:r>
      <w:r w:rsidRPr="00E417DB">
        <w:rPr>
          <w:i/>
          <w:color w:val="auto"/>
        </w:rPr>
        <w:t>I Was Him</w:t>
      </w:r>
      <w:r w:rsidR="00C56138" w:rsidRPr="00E417DB">
        <w:rPr>
          <w:color w:val="auto"/>
        </w:rPr>
        <w:t xml:space="preserve"> in the Satirical Theat</w:t>
      </w:r>
      <w:r w:rsidRPr="00E417DB">
        <w:rPr>
          <w:color w:val="auto"/>
        </w:rPr>
        <w:t>r</w:t>
      </w:r>
      <w:r w:rsidR="00C56138" w:rsidRPr="00E417DB">
        <w:rPr>
          <w:color w:val="auto"/>
        </w:rPr>
        <w:t>e</w:t>
      </w:r>
      <w:r w:rsidRPr="00E417DB">
        <w:rPr>
          <w:color w:val="auto"/>
        </w:rPr>
        <w:t xml:space="preserve">. For </w:t>
      </w:r>
      <w:proofErr w:type="spellStart"/>
      <w:r w:rsidRPr="00E417DB">
        <w:rPr>
          <w:color w:val="auto"/>
        </w:rPr>
        <w:t>Radichkov</w:t>
      </w:r>
      <w:proofErr w:type="spellEnd"/>
      <w:r w:rsidRPr="00E417DB">
        <w:rPr>
          <w:color w:val="auto"/>
        </w:rPr>
        <w:t xml:space="preserve"> (not the strongest section of the text): well traced is the stereotyping of interpretations, similar to the “great </w:t>
      </w:r>
      <w:proofErr w:type="spellStart"/>
      <w:r w:rsidRPr="00E417DB">
        <w:rPr>
          <w:color w:val="auto"/>
        </w:rPr>
        <w:t>Bak</w:t>
      </w:r>
      <w:r w:rsidR="0066625D" w:rsidRPr="00E417DB">
        <w:rPr>
          <w:color w:val="auto"/>
        </w:rPr>
        <w:t>htinian</w:t>
      </w:r>
      <w:proofErr w:type="spellEnd"/>
      <w:r w:rsidR="0066625D" w:rsidRPr="00E417DB">
        <w:rPr>
          <w:color w:val="auto"/>
        </w:rPr>
        <w:t xml:space="preserve"> reading</w:t>
      </w:r>
      <w:r w:rsidRPr="00E417DB">
        <w:rPr>
          <w:color w:val="auto"/>
        </w:rPr>
        <w:t>”</w:t>
      </w:r>
      <w:r w:rsidR="0066625D" w:rsidRPr="00E417DB">
        <w:rPr>
          <w:color w:val="auto"/>
        </w:rPr>
        <w:t>,</w:t>
      </w:r>
      <w:r w:rsidRPr="00E417DB">
        <w:rPr>
          <w:color w:val="auto"/>
        </w:rPr>
        <w:t xml:space="preserve"> along with the dramatist’s theory of repetition and change. For </w:t>
      </w:r>
      <w:proofErr w:type="spellStart"/>
      <w:r w:rsidRPr="00E417DB">
        <w:rPr>
          <w:color w:val="auto"/>
        </w:rPr>
        <w:t>Radoy</w:t>
      </w:r>
      <w:proofErr w:type="spellEnd"/>
      <w:r w:rsidRPr="00E417DB">
        <w:rPr>
          <w:color w:val="auto"/>
        </w:rPr>
        <w:t xml:space="preserve"> </w:t>
      </w:r>
      <w:proofErr w:type="spellStart"/>
      <w:r w:rsidRPr="00E417DB">
        <w:rPr>
          <w:color w:val="auto"/>
        </w:rPr>
        <w:t>Ralin</w:t>
      </w:r>
      <w:proofErr w:type="spellEnd"/>
      <w:r w:rsidRPr="00E417DB">
        <w:rPr>
          <w:color w:val="auto"/>
        </w:rPr>
        <w:t>: his specific punning style is acknowledged (comic-tragedy, yet still a passing play), while also embedding him in the conte</w:t>
      </w:r>
      <w:r w:rsidR="00C56138" w:rsidRPr="00E417DB">
        <w:rPr>
          <w:color w:val="auto"/>
        </w:rPr>
        <w:t>xt of the older Satirical Theat</w:t>
      </w:r>
      <w:r w:rsidRPr="00E417DB">
        <w:rPr>
          <w:color w:val="auto"/>
        </w:rPr>
        <w:t>r</w:t>
      </w:r>
      <w:r w:rsidR="00C56138" w:rsidRPr="00E417DB">
        <w:rPr>
          <w:color w:val="auto"/>
        </w:rPr>
        <w:t>e</w:t>
      </w:r>
      <w:r w:rsidRPr="00E417DB">
        <w:rPr>
          <w:color w:val="auto"/>
        </w:rPr>
        <w:t xml:space="preserve"> </w:t>
      </w:r>
      <w:proofErr w:type="spellStart"/>
      <w:r w:rsidRPr="00E417DB">
        <w:rPr>
          <w:color w:val="auto"/>
        </w:rPr>
        <w:t>Starshel</w:t>
      </w:r>
      <w:proofErr w:type="spellEnd"/>
      <w:r w:rsidRPr="00E417DB">
        <w:rPr>
          <w:color w:val="auto"/>
        </w:rPr>
        <w:t xml:space="preserve"> and the Czechs. For Stanislav </w:t>
      </w:r>
      <w:proofErr w:type="spellStart"/>
      <w:r w:rsidRPr="00E417DB">
        <w:rPr>
          <w:color w:val="auto"/>
        </w:rPr>
        <w:t>Stratiev</w:t>
      </w:r>
      <w:proofErr w:type="spellEnd"/>
      <w:r w:rsidRPr="00E417DB">
        <w:rPr>
          <w:color w:val="auto"/>
        </w:rPr>
        <w:t>: t</w:t>
      </w:r>
      <w:r w:rsidR="007E00B9" w:rsidRPr="00E417DB">
        <w:rPr>
          <w:color w:val="auto"/>
        </w:rPr>
        <w:t xml:space="preserve">he possible connection with </w:t>
      </w:r>
      <w:proofErr w:type="spellStart"/>
      <w:r w:rsidR="007E00B9" w:rsidRPr="00E417DB">
        <w:rPr>
          <w:color w:val="auto"/>
        </w:rPr>
        <w:t>Mroz</w:t>
      </w:r>
      <w:r w:rsidRPr="00E417DB">
        <w:rPr>
          <w:color w:val="auto"/>
        </w:rPr>
        <w:t>ek</w:t>
      </w:r>
      <w:proofErr w:type="spellEnd"/>
      <w:r w:rsidRPr="00E417DB">
        <w:rPr>
          <w:color w:val="auto"/>
        </w:rPr>
        <w:t xml:space="preserve"> is suggested, along with a comparative reading of the </w:t>
      </w:r>
      <w:proofErr w:type="spellStart"/>
      <w:r w:rsidRPr="00E417DB">
        <w:rPr>
          <w:color w:val="auto"/>
        </w:rPr>
        <w:t>scenographic</w:t>
      </w:r>
      <w:proofErr w:type="spellEnd"/>
      <w:r w:rsidRPr="00E417DB">
        <w:rPr>
          <w:color w:val="auto"/>
        </w:rPr>
        <w:t xml:space="preserve"> choices in the three productions. For Ivan </w:t>
      </w:r>
      <w:proofErr w:type="spellStart"/>
      <w:r w:rsidRPr="00E417DB">
        <w:rPr>
          <w:color w:val="auto"/>
        </w:rPr>
        <w:t>R</w:t>
      </w:r>
      <w:r w:rsidR="00C56138" w:rsidRPr="00E417DB">
        <w:rPr>
          <w:color w:val="auto"/>
        </w:rPr>
        <w:t>adoev</w:t>
      </w:r>
      <w:proofErr w:type="spellEnd"/>
      <w:r w:rsidR="00C56138" w:rsidRPr="00E417DB">
        <w:rPr>
          <w:color w:val="auto"/>
        </w:rPr>
        <w:t>: the division among theat</w:t>
      </w:r>
      <w:r w:rsidRPr="00E417DB">
        <w:rPr>
          <w:color w:val="auto"/>
        </w:rPr>
        <w:t>r</w:t>
      </w:r>
      <w:r w:rsidR="00C56138" w:rsidRPr="00E417DB">
        <w:rPr>
          <w:color w:val="auto"/>
        </w:rPr>
        <w:t>e</w:t>
      </w:r>
      <w:r w:rsidRPr="00E417DB">
        <w:rPr>
          <w:color w:val="auto"/>
        </w:rPr>
        <w:t xml:space="preserve"> practitioners regarding </w:t>
      </w:r>
      <w:r w:rsidRPr="00E417DB">
        <w:rPr>
          <w:i/>
          <w:color w:val="auto"/>
        </w:rPr>
        <w:t>Romeo and Juliet and Petrol</w:t>
      </w:r>
      <w:r w:rsidRPr="00E417DB">
        <w:rPr>
          <w:color w:val="auto"/>
        </w:rPr>
        <w:t xml:space="preserve"> (a weak play but a good production); the development of the theme of old age in </w:t>
      </w:r>
      <w:proofErr w:type="spellStart"/>
      <w:r w:rsidRPr="00E417DB">
        <w:rPr>
          <w:color w:val="auto"/>
        </w:rPr>
        <w:t>Radoev</w:t>
      </w:r>
      <w:proofErr w:type="spellEnd"/>
      <w:r w:rsidRPr="00E417DB">
        <w:rPr>
          <w:color w:val="auto"/>
        </w:rPr>
        <w:t xml:space="preserve"> and later in </w:t>
      </w:r>
      <w:proofErr w:type="spellStart"/>
      <w:r w:rsidRPr="00E417DB">
        <w:rPr>
          <w:color w:val="auto"/>
        </w:rPr>
        <w:t>Stratiev</w:t>
      </w:r>
      <w:proofErr w:type="spellEnd"/>
      <w:r w:rsidRPr="00E417DB">
        <w:rPr>
          <w:color w:val="auto"/>
        </w:rPr>
        <w:t>.</w:t>
      </w:r>
    </w:p>
    <w:p w14:paraId="707AA74C" w14:textId="4B3F79F9"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The presence of an </w:t>
      </w:r>
      <w:r w:rsidR="00065E6E" w:rsidRPr="00E417DB">
        <w:rPr>
          <w:b/>
          <w:bCs/>
          <w:color w:val="auto"/>
        </w:rPr>
        <w:t>E</w:t>
      </w:r>
      <w:r w:rsidRPr="00E417DB">
        <w:rPr>
          <w:b/>
          <w:bCs/>
          <w:color w:val="auto"/>
        </w:rPr>
        <w:t>pilogue</w:t>
      </w:r>
      <w:r w:rsidRPr="00E417DB">
        <w:rPr>
          <w:color w:val="auto"/>
        </w:rPr>
        <w:t xml:space="preserve"> in a scholarly text, followed by a conclusion, is unusual, but here it is staged as a theatrical act that poses the crucial question: Have the comedies that played with the political under socialism grown old </w:t>
      </w:r>
      <w:r w:rsidR="00F51D4D" w:rsidRPr="00E417DB">
        <w:rPr>
          <w:color w:val="auto"/>
        </w:rPr>
        <w:t>–</w:t>
      </w:r>
      <w:r w:rsidRPr="00E417DB">
        <w:rPr>
          <w:color w:val="auto"/>
        </w:rPr>
        <w:t xml:space="preserve"> or are they aging? How do they stand on today’s theatrical stage? As examples, three productions of </w:t>
      </w:r>
      <w:proofErr w:type="spellStart"/>
      <w:r w:rsidRPr="00E417DB">
        <w:rPr>
          <w:color w:val="auto"/>
        </w:rPr>
        <w:t>Stratiev</w:t>
      </w:r>
      <w:proofErr w:type="spellEnd"/>
      <w:r w:rsidRPr="00E417DB">
        <w:rPr>
          <w:color w:val="auto"/>
        </w:rPr>
        <w:t xml:space="preserve"> are discussed (this time </w:t>
      </w:r>
      <w:r w:rsidRPr="00E417DB">
        <w:rPr>
          <w:i/>
          <w:color w:val="auto"/>
        </w:rPr>
        <w:t>Suede Jacket</w:t>
      </w:r>
      <w:r w:rsidRPr="00E417DB">
        <w:rPr>
          <w:color w:val="auto"/>
        </w:rPr>
        <w:t xml:space="preserve"> and </w:t>
      </w:r>
      <w:r w:rsidRPr="00E417DB">
        <w:rPr>
          <w:i/>
          <w:color w:val="auto"/>
        </w:rPr>
        <w:t>Roman Bath</w:t>
      </w:r>
      <w:r w:rsidRPr="00E417DB">
        <w:rPr>
          <w:color w:val="auto"/>
        </w:rPr>
        <w:t xml:space="preserve">, and not only in Bulgaria), which outline the symbolic frame of the end of the socialist period through </w:t>
      </w:r>
      <w:r w:rsidR="000D5F5D" w:rsidRPr="00E417DB">
        <w:rPr>
          <w:color w:val="auto"/>
        </w:rPr>
        <w:t>the image of the “collapsed set</w:t>
      </w:r>
      <w:r w:rsidRPr="00E417DB">
        <w:rPr>
          <w:color w:val="auto"/>
        </w:rPr>
        <w:t>”</w:t>
      </w:r>
      <w:r w:rsidR="000D5F5D" w:rsidRPr="00E417DB">
        <w:rPr>
          <w:color w:val="auto"/>
        </w:rPr>
        <w:t>,</w:t>
      </w:r>
      <w:r w:rsidRPr="00E417DB">
        <w:rPr>
          <w:color w:val="auto"/>
        </w:rPr>
        <w:t xml:space="preserve"> </w:t>
      </w:r>
      <w:r w:rsidR="00C56138" w:rsidRPr="00E417DB">
        <w:rPr>
          <w:color w:val="auto"/>
        </w:rPr>
        <w:t>of the abandoned theat</w:t>
      </w:r>
      <w:r w:rsidRPr="00E417DB">
        <w:rPr>
          <w:color w:val="auto"/>
        </w:rPr>
        <w:t>r</w:t>
      </w:r>
      <w:r w:rsidR="00C56138" w:rsidRPr="00E417DB">
        <w:rPr>
          <w:color w:val="auto"/>
        </w:rPr>
        <w:t>e</w:t>
      </w:r>
      <w:r w:rsidRPr="00E417DB">
        <w:rPr>
          <w:color w:val="auto"/>
        </w:rPr>
        <w:t xml:space="preserve"> that in </w:t>
      </w:r>
      <w:r w:rsidRPr="00E417DB">
        <w:rPr>
          <w:color w:val="auto"/>
        </w:rPr>
        <w:lastRenderedPageBreak/>
        <w:t>the 1990s would have to rebuild itself, regaining its autonomy.</w:t>
      </w:r>
    </w:p>
    <w:p w14:paraId="707AA74D" w14:textId="026FFAC1"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In the </w:t>
      </w:r>
      <w:r w:rsidRPr="00E417DB">
        <w:rPr>
          <w:b/>
          <w:bCs/>
          <w:color w:val="auto"/>
        </w:rPr>
        <w:t>Conclusion</w:t>
      </w:r>
      <w:r w:rsidRPr="00E417DB">
        <w:rPr>
          <w:color w:val="auto"/>
        </w:rPr>
        <w:t xml:space="preserve"> of the dissertation, the political </w:t>
      </w:r>
      <w:proofErr w:type="spellStart"/>
      <w:r w:rsidRPr="00E417DB">
        <w:rPr>
          <w:color w:val="auto"/>
        </w:rPr>
        <w:t>instrumentalization</w:t>
      </w:r>
      <w:proofErr w:type="spellEnd"/>
      <w:r w:rsidRPr="00E417DB">
        <w:rPr>
          <w:color w:val="auto"/>
        </w:rPr>
        <w:t xml:space="preserve"> of the comedy genre is summarized. Comedy is shown to have undergone several stages that, together with t</w:t>
      </w:r>
      <w:r w:rsidR="005129D5" w:rsidRPr="00E417DB">
        <w:rPr>
          <w:color w:val="auto"/>
        </w:rPr>
        <w:t>he formation of “state laughter</w:t>
      </w:r>
      <w:r w:rsidRPr="00E417DB">
        <w:rPr>
          <w:color w:val="auto"/>
        </w:rPr>
        <w:t>”</w:t>
      </w:r>
      <w:r w:rsidR="005129D5" w:rsidRPr="00E417DB">
        <w:rPr>
          <w:color w:val="auto"/>
        </w:rPr>
        <w:t>,</w:t>
      </w:r>
      <w:r w:rsidRPr="00E417DB">
        <w:rPr>
          <w:color w:val="auto"/>
        </w:rPr>
        <w:t xml:space="preserve"> can be traced through the phases of construction and disintegration of the socialist realist method, in resonance with concrete political decisions and gestures.</w:t>
      </w:r>
    </w:p>
    <w:p w14:paraId="707AA74E" w14:textId="238ABCC4" w:rsidR="005533C0" w:rsidRPr="00E417DB" w:rsidRDefault="00F113F8" w:rsidP="007E00B9">
      <w:pPr>
        <w:pStyle w:val="BodyText"/>
        <w:shd w:val="clear" w:color="000000" w:fill="auto"/>
        <w:spacing w:line="360" w:lineRule="auto"/>
        <w:ind w:left="0" w:firstLine="426"/>
        <w:jc w:val="both"/>
        <w:rPr>
          <w:color w:val="auto"/>
        </w:rPr>
      </w:pPr>
      <w:r w:rsidRPr="00E417DB">
        <w:rPr>
          <w:color w:val="auto"/>
        </w:rPr>
        <w:t xml:space="preserve">The </w:t>
      </w:r>
      <w:r w:rsidRPr="00E417DB">
        <w:rPr>
          <w:b/>
          <w:bCs/>
          <w:color w:val="auto"/>
        </w:rPr>
        <w:t>bibliography</w:t>
      </w:r>
      <w:r w:rsidRPr="00E417DB">
        <w:rPr>
          <w:color w:val="auto"/>
        </w:rPr>
        <w:t xml:space="preserve"> is extensive, of a high professional standard, and properly cited. It can serve as an example for PhD candidates and researchers more broadly. The archival work deserves special commendation, since this is rarely practiced at New Bulgarian University, particularly in the fields o</w:t>
      </w:r>
      <w:r w:rsidR="00C56138" w:rsidRPr="00E417DB">
        <w:rPr>
          <w:color w:val="auto"/>
        </w:rPr>
        <w:t>f theat</w:t>
      </w:r>
      <w:r w:rsidRPr="00E417DB">
        <w:rPr>
          <w:color w:val="auto"/>
        </w:rPr>
        <w:t>r</w:t>
      </w:r>
      <w:r w:rsidR="00C56138" w:rsidRPr="00E417DB">
        <w:rPr>
          <w:color w:val="auto"/>
        </w:rPr>
        <w:t>e</w:t>
      </w:r>
      <w:r w:rsidRPr="00E417DB">
        <w:rPr>
          <w:color w:val="auto"/>
        </w:rPr>
        <w:t xml:space="preserve"> and cinema.</w:t>
      </w:r>
      <w:r w:rsidR="005129D5" w:rsidRPr="00E417DB">
        <w:rPr>
          <w:color w:val="auto"/>
        </w:rPr>
        <w:t xml:space="preserve"> </w:t>
      </w:r>
    </w:p>
    <w:p w14:paraId="707AA74F" w14:textId="77777777" w:rsidR="005533C0" w:rsidRPr="00E417DB" w:rsidRDefault="005533C0" w:rsidP="007E00B9">
      <w:pPr>
        <w:pStyle w:val="BodyText"/>
        <w:shd w:val="clear" w:color="000000" w:fill="auto"/>
        <w:spacing w:line="360" w:lineRule="auto"/>
        <w:ind w:left="0" w:firstLine="426"/>
        <w:jc w:val="both"/>
        <w:rPr>
          <w:color w:val="auto"/>
        </w:rPr>
      </w:pPr>
    </w:p>
    <w:p w14:paraId="707AA750" w14:textId="77777777" w:rsidR="005533C0" w:rsidRPr="00E417DB" w:rsidRDefault="00F113F8" w:rsidP="007E00B9">
      <w:pPr>
        <w:shd w:val="clear" w:color="000000" w:fill="auto"/>
        <w:spacing w:line="360" w:lineRule="auto"/>
        <w:ind w:firstLine="426"/>
        <w:jc w:val="both"/>
        <w:rPr>
          <w:rFonts w:ascii="Times New Roman" w:hAnsi="Times New Roman" w:cs="Times New Roman"/>
          <w:color w:val="auto"/>
          <w:sz w:val="24"/>
          <w:szCs w:val="24"/>
        </w:rPr>
      </w:pPr>
      <w:r w:rsidRPr="00E417DB">
        <w:rPr>
          <w:rFonts w:ascii="Times New Roman" w:hAnsi="Times New Roman"/>
          <w:color w:val="auto"/>
          <w:sz w:val="24"/>
          <w:szCs w:val="24"/>
        </w:rPr>
        <w:t xml:space="preserve">The </w:t>
      </w:r>
      <w:r w:rsidRPr="00E417DB">
        <w:rPr>
          <w:rFonts w:ascii="Times New Roman" w:hAnsi="Times New Roman"/>
          <w:b/>
          <w:bCs/>
          <w:color w:val="auto"/>
          <w:sz w:val="24"/>
          <w:szCs w:val="24"/>
        </w:rPr>
        <w:t>scholarly contributions</w:t>
      </w:r>
      <w:r w:rsidRPr="00E417DB">
        <w:rPr>
          <w:rFonts w:ascii="Times New Roman" w:hAnsi="Times New Roman"/>
          <w:color w:val="auto"/>
          <w:sz w:val="24"/>
          <w:szCs w:val="24"/>
        </w:rPr>
        <w:t xml:space="preserve"> of this dissertation can be seen in several directions:</w:t>
      </w:r>
    </w:p>
    <w:p w14:paraId="707AA751" w14:textId="7AA487BB" w:rsidR="005533C0" w:rsidRPr="00E417DB" w:rsidRDefault="001F137B" w:rsidP="007E00B9">
      <w:pPr>
        <w:shd w:val="clear" w:color="000000" w:fill="auto"/>
        <w:tabs>
          <w:tab w:val="left" w:pos="476"/>
        </w:tabs>
        <w:spacing w:line="360" w:lineRule="auto"/>
        <w:ind w:left="426" w:hanging="426"/>
        <w:jc w:val="both"/>
        <w:rPr>
          <w:rFonts w:ascii="Times New Roman" w:hAnsi="Times New Roman" w:cs="Times New Roman"/>
          <w:color w:val="auto"/>
          <w:sz w:val="24"/>
          <w:szCs w:val="24"/>
        </w:rPr>
      </w:pPr>
      <w:r w:rsidRPr="00E417DB">
        <w:rPr>
          <w:rFonts w:ascii="Times New Roman" w:hAnsi="Times New Roman"/>
          <w:color w:val="auto"/>
          <w:sz w:val="24"/>
          <w:szCs w:val="24"/>
        </w:rPr>
        <w:t>1.</w:t>
      </w:r>
      <w:r w:rsidRPr="00E417DB">
        <w:rPr>
          <w:rFonts w:ascii="Times New Roman" w:hAnsi="Times New Roman"/>
          <w:color w:val="auto"/>
          <w:sz w:val="24"/>
          <w:szCs w:val="24"/>
        </w:rPr>
        <w:tab/>
        <w:t>A theoretical re-examination of familiar concepts for the method of socialist realism and for comedy in Bulgaria.</w:t>
      </w:r>
    </w:p>
    <w:p w14:paraId="707AA754" w14:textId="6DB3B3F0" w:rsidR="005533C0" w:rsidRPr="00E417DB" w:rsidRDefault="001F137B" w:rsidP="00E63466">
      <w:pPr>
        <w:shd w:val="clear" w:color="000000" w:fill="auto"/>
        <w:tabs>
          <w:tab w:val="left" w:pos="476"/>
        </w:tabs>
        <w:spacing w:line="360" w:lineRule="auto"/>
        <w:ind w:left="426" w:hanging="426"/>
        <w:jc w:val="both"/>
      </w:pPr>
      <w:r w:rsidRPr="00E417DB">
        <w:rPr>
          <w:rFonts w:ascii="Times New Roman" w:hAnsi="Times New Roman"/>
          <w:color w:val="auto"/>
          <w:sz w:val="24"/>
          <w:szCs w:val="24"/>
        </w:rPr>
        <w:t>2.</w:t>
      </w:r>
      <w:r w:rsidRPr="00E417DB">
        <w:rPr>
          <w:rFonts w:ascii="Times New Roman" w:hAnsi="Times New Roman"/>
          <w:color w:val="auto"/>
          <w:sz w:val="24"/>
          <w:szCs w:val="24"/>
        </w:rPr>
        <w:tab/>
        <w:t>Solid knowledge of the historical and cultural context of the period, especially the 1960s and 1970s.</w:t>
      </w:r>
      <w:r w:rsidR="00E63466" w:rsidRPr="00E417DB">
        <w:t xml:space="preserve"> </w:t>
      </w:r>
      <w:r w:rsidR="00F113F8" w:rsidRPr="00E417DB">
        <w:rPr>
          <w:rFonts w:ascii="Times New Roman" w:hAnsi="Times New Roman" w:cs="Times New Roman"/>
          <w:color w:val="auto"/>
          <w:sz w:val="24"/>
          <w:szCs w:val="24"/>
        </w:rPr>
        <w:t>This is significant since Vanya Petkova, though not a direct witness of the time, demonstrates equal command of both primary sources and secondary materials.</w:t>
      </w:r>
    </w:p>
    <w:p w14:paraId="707AA755" w14:textId="33D59544" w:rsidR="005533C0" w:rsidRPr="00E417DB" w:rsidRDefault="001F137B" w:rsidP="008479BA">
      <w:pPr>
        <w:shd w:val="clear" w:color="000000" w:fill="auto"/>
        <w:tabs>
          <w:tab w:val="left" w:pos="476"/>
        </w:tabs>
        <w:spacing w:line="360" w:lineRule="auto"/>
        <w:jc w:val="both"/>
        <w:rPr>
          <w:rFonts w:ascii="Times New Roman" w:hAnsi="Times New Roman" w:cs="Times New Roman"/>
          <w:color w:val="auto"/>
          <w:sz w:val="24"/>
          <w:szCs w:val="24"/>
        </w:rPr>
      </w:pPr>
      <w:r w:rsidRPr="00E417DB">
        <w:rPr>
          <w:rFonts w:ascii="Times New Roman" w:hAnsi="Times New Roman"/>
          <w:color w:val="auto"/>
          <w:sz w:val="24"/>
          <w:szCs w:val="24"/>
        </w:rPr>
        <w:t>3.</w:t>
      </w:r>
      <w:r w:rsidRPr="00E417DB">
        <w:rPr>
          <w:rFonts w:ascii="Times New Roman" w:hAnsi="Times New Roman"/>
          <w:color w:val="auto"/>
          <w:sz w:val="24"/>
          <w:szCs w:val="24"/>
        </w:rPr>
        <w:tab/>
        <w:t>Adherence to the principle of tracing the development of concepts (comedy, absurd, socialist realism, the positive hero) across different periods, discerning not only commonalities but also specific transformations over time.</w:t>
      </w:r>
    </w:p>
    <w:p w14:paraId="707AA756" w14:textId="5151B846" w:rsidR="005533C0" w:rsidRPr="00E417DB" w:rsidRDefault="001F137B" w:rsidP="008479BA">
      <w:pPr>
        <w:shd w:val="clear" w:color="000000" w:fill="auto"/>
        <w:tabs>
          <w:tab w:val="left" w:pos="758"/>
        </w:tabs>
        <w:spacing w:line="360" w:lineRule="auto"/>
        <w:jc w:val="both"/>
        <w:rPr>
          <w:rFonts w:ascii="Times New Roman" w:hAnsi="Times New Roman" w:cs="Times New Roman"/>
          <w:color w:val="auto"/>
          <w:sz w:val="24"/>
          <w:szCs w:val="24"/>
        </w:rPr>
      </w:pPr>
      <w:r w:rsidRPr="00E417DB">
        <w:rPr>
          <w:rFonts w:ascii="Times New Roman" w:hAnsi="Times New Roman"/>
          <w:color w:val="auto"/>
          <w:sz w:val="24"/>
          <w:szCs w:val="24"/>
        </w:rPr>
        <w:t>4.</w:t>
      </w:r>
      <w:r w:rsidRPr="00E417DB">
        <w:rPr>
          <w:rFonts w:ascii="Times New Roman" w:hAnsi="Times New Roman"/>
          <w:color w:val="auto"/>
          <w:sz w:val="24"/>
          <w:szCs w:val="24"/>
        </w:rPr>
        <w:tab/>
        <w:t>Work with a wide and impressive corpus of authors and productions.</w:t>
      </w:r>
    </w:p>
    <w:p w14:paraId="707AA758" w14:textId="70614AAF" w:rsidR="005533C0" w:rsidRPr="00E417DB" w:rsidRDefault="001F137B" w:rsidP="008479BA">
      <w:pPr>
        <w:shd w:val="clear" w:color="000000" w:fill="auto"/>
        <w:tabs>
          <w:tab w:val="left" w:pos="758"/>
        </w:tabs>
        <w:spacing w:line="360" w:lineRule="auto"/>
        <w:jc w:val="both"/>
        <w:rPr>
          <w:rFonts w:ascii="Times New Roman" w:hAnsi="Times New Roman" w:cs="Times New Roman"/>
          <w:i/>
          <w:color w:val="auto"/>
          <w:sz w:val="24"/>
          <w:szCs w:val="24"/>
        </w:rPr>
      </w:pPr>
      <w:r w:rsidRPr="00E417DB">
        <w:rPr>
          <w:rFonts w:ascii="Times New Roman" w:hAnsi="Times New Roman"/>
          <w:color w:val="auto"/>
          <w:sz w:val="24"/>
          <w:szCs w:val="24"/>
        </w:rPr>
        <w:t>5.</w:t>
      </w:r>
      <w:r w:rsidRPr="00E417DB">
        <w:rPr>
          <w:rFonts w:ascii="Times New Roman" w:hAnsi="Times New Roman"/>
          <w:color w:val="auto"/>
          <w:sz w:val="24"/>
          <w:szCs w:val="24"/>
        </w:rPr>
        <w:tab/>
        <w:t>A sensitivity to documents and a high degree of precision. Particularly original, even witty, is the idea of the “theatrical document viewed as a performance in itself, of which, from the perspective of our research her</w:t>
      </w:r>
      <w:r w:rsidR="005129D5" w:rsidRPr="00E417DB">
        <w:rPr>
          <w:rFonts w:ascii="Times New Roman" w:hAnsi="Times New Roman"/>
          <w:color w:val="auto"/>
          <w:sz w:val="24"/>
          <w:szCs w:val="24"/>
        </w:rPr>
        <w:t>e-and-now, we become spectators</w:t>
      </w:r>
      <w:r w:rsidRPr="00E417DB">
        <w:rPr>
          <w:rFonts w:ascii="Times New Roman" w:hAnsi="Times New Roman"/>
          <w:color w:val="auto"/>
          <w:sz w:val="24"/>
          <w:szCs w:val="24"/>
        </w:rPr>
        <w:t>”</w:t>
      </w:r>
      <w:r w:rsidR="005129D5" w:rsidRPr="00E417DB">
        <w:rPr>
          <w:rFonts w:ascii="Times New Roman" w:hAnsi="Times New Roman"/>
          <w:color w:val="auto"/>
          <w:sz w:val="24"/>
          <w:szCs w:val="24"/>
        </w:rPr>
        <w:t>.</w:t>
      </w:r>
    </w:p>
    <w:p w14:paraId="707AA75A" w14:textId="424A8515" w:rsidR="005533C0" w:rsidRPr="00E417DB" w:rsidRDefault="001F137B" w:rsidP="008479BA">
      <w:pPr>
        <w:shd w:val="clear" w:color="000000" w:fill="auto"/>
        <w:tabs>
          <w:tab w:val="left" w:pos="759"/>
        </w:tabs>
        <w:spacing w:line="360" w:lineRule="auto"/>
        <w:jc w:val="both"/>
        <w:rPr>
          <w:rFonts w:ascii="Times New Roman" w:hAnsi="Times New Roman" w:cs="Times New Roman"/>
          <w:color w:val="auto"/>
          <w:sz w:val="24"/>
          <w:szCs w:val="24"/>
        </w:rPr>
      </w:pPr>
      <w:r w:rsidRPr="00E417DB">
        <w:rPr>
          <w:rFonts w:ascii="Times New Roman" w:hAnsi="Times New Roman"/>
          <w:color w:val="auto"/>
          <w:sz w:val="24"/>
          <w:szCs w:val="24"/>
        </w:rPr>
        <w:t>6.</w:t>
      </w:r>
      <w:r w:rsidRPr="00E417DB">
        <w:rPr>
          <w:rFonts w:ascii="Times New Roman" w:hAnsi="Times New Roman"/>
          <w:color w:val="auto"/>
          <w:sz w:val="24"/>
          <w:szCs w:val="24"/>
        </w:rPr>
        <w:tab/>
        <w:t>The proposition of an original authorial reading of “state laughter” in the examined authors, texts, and productions, based on the thesis that laughter may serve as a far more effective tool of intimidation and (re)education, a means of hardening hierarchy, and a powerful instrument for normalization and control.</w:t>
      </w:r>
    </w:p>
    <w:p w14:paraId="707AA75E" w14:textId="3A885B63" w:rsidR="005533C0" w:rsidRPr="00E417DB" w:rsidRDefault="001F137B" w:rsidP="008479BA">
      <w:pPr>
        <w:shd w:val="clear" w:color="000000" w:fill="auto"/>
        <w:tabs>
          <w:tab w:val="left" w:pos="759"/>
        </w:tabs>
        <w:spacing w:line="360" w:lineRule="auto"/>
        <w:jc w:val="both"/>
        <w:rPr>
          <w:rFonts w:ascii="Times New Roman" w:hAnsi="Times New Roman" w:cs="Times New Roman"/>
          <w:color w:val="auto"/>
          <w:sz w:val="24"/>
          <w:szCs w:val="24"/>
        </w:rPr>
      </w:pPr>
      <w:r w:rsidRPr="00E417DB">
        <w:rPr>
          <w:rFonts w:ascii="Times New Roman" w:hAnsi="Times New Roman"/>
          <w:color w:val="auto"/>
          <w:sz w:val="24"/>
          <w:szCs w:val="24"/>
        </w:rPr>
        <w:t>7.</w:t>
      </w:r>
      <w:r w:rsidRPr="00E417DB">
        <w:rPr>
          <w:rFonts w:ascii="Times New Roman" w:hAnsi="Times New Roman"/>
          <w:color w:val="auto"/>
          <w:sz w:val="24"/>
          <w:szCs w:val="24"/>
        </w:rPr>
        <w:tab/>
        <w:t xml:space="preserve">In every dramaturgical text affected by censorship, careful attention is paid to the crucial question of which version we have access to today (for instance, the discrepancies between </w:t>
      </w:r>
      <w:proofErr w:type="spellStart"/>
      <w:r w:rsidRPr="00E417DB">
        <w:rPr>
          <w:rFonts w:ascii="Times New Roman" w:hAnsi="Times New Roman"/>
          <w:color w:val="auto"/>
          <w:sz w:val="24"/>
          <w:szCs w:val="24"/>
        </w:rPr>
        <w:t>Radoy</w:t>
      </w:r>
      <w:proofErr w:type="spellEnd"/>
      <w:r w:rsidRPr="00E417DB">
        <w:rPr>
          <w:rFonts w:ascii="Times New Roman" w:hAnsi="Times New Roman"/>
          <w:color w:val="auto"/>
          <w:sz w:val="24"/>
          <w:szCs w:val="24"/>
        </w:rPr>
        <w:t xml:space="preserve"> </w:t>
      </w:r>
      <w:proofErr w:type="spellStart"/>
      <w:r w:rsidRPr="00E417DB">
        <w:rPr>
          <w:rFonts w:ascii="Times New Roman" w:hAnsi="Times New Roman"/>
          <w:color w:val="auto"/>
          <w:sz w:val="24"/>
          <w:szCs w:val="24"/>
        </w:rPr>
        <w:t>Ralin’s</w:t>
      </w:r>
      <w:proofErr w:type="spellEnd"/>
      <w:r w:rsidRPr="00E417DB">
        <w:rPr>
          <w:rFonts w:ascii="Times New Roman" w:hAnsi="Times New Roman"/>
          <w:color w:val="auto"/>
          <w:sz w:val="24"/>
          <w:szCs w:val="24"/>
        </w:rPr>
        <w:t xml:space="preserve"> archive </w:t>
      </w:r>
      <w:r w:rsidR="00C56138" w:rsidRPr="00E417DB">
        <w:rPr>
          <w:rFonts w:ascii="Times New Roman" w:hAnsi="Times New Roman"/>
          <w:color w:val="auto"/>
          <w:sz w:val="24"/>
          <w:szCs w:val="24"/>
        </w:rPr>
        <w:t>and that of the Satirical Theat</w:t>
      </w:r>
      <w:r w:rsidRPr="00E417DB">
        <w:rPr>
          <w:rFonts w:ascii="Times New Roman" w:hAnsi="Times New Roman"/>
          <w:color w:val="auto"/>
          <w:sz w:val="24"/>
          <w:szCs w:val="24"/>
        </w:rPr>
        <w:t>r</w:t>
      </w:r>
      <w:r w:rsidR="00C56138" w:rsidRPr="00E417DB">
        <w:rPr>
          <w:rFonts w:ascii="Times New Roman" w:hAnsi="Times New Roman"/>
          <w:color w:val="auto"/>
          <w:sz w:val="24"/>
          <w:szCs w:val="24"/>
        </w:rPr>
        <w:t>e</w:t>
      </w:r>
      <w:r w:rsidRPr="00E417DB">
        <w:rPr>
          <w:rFonts w:ascii="Times New Roman" w:hAnsi="Times New Roman"/>
          <w:color w:val="auto"/>
          <w:sz w:val="24"/>
          <w:szCs w:val="24"/>
        </w:rPr>
        <w:t xml:space="preserve">, or the drafts and truncated variants of </w:t>
      </w:r>
      <w:r w:rsidRPr="00E417DB">
        <w:rPr>
          <w:rFonts w:ascii="Times New Roman" w:hAnsi="Times New Roman"/>
          <w:i/>
          <w:color w:val="auto"/>
          <w:sz w:val="24"/>
          <w:szCs w:val="24"/>
        </w:rPr>
        <w:t>Improvisation</w:t>
      </w:r>
      <w:r w:rsidRPr="00E417DB">
        <w:rPr>
          <w:rFonts w:ascii="Times New Roman" w:hAnsi="Times New Roman"/>
          <w:color w:val="auto"/>
          <w:sz w:val="24"/>
          <w:szCs w:val="24"/>
        </w:rPr>
        <w:t>).</w:t>
      </w:r>
    </w:p>
    <w:p w14:paraId="707AA761" w14:textId="2F91DC3A" w:rsidR="005533C0" w:rsidRPr="00E417DB" w:rsidRDefault="00F113F8" w:rsidP="007E00B9">
      <w:pPr>
        <w:shd w:val="clear" w:color="000000" w:fill="auto"/>
        <w:spacing w:line="360" w:lineRule="auto"/>
        <w:ind w:firstLine="426"/>
        <w:jc w:val="both"/>
        <w:rPr>
          <w:rFonts w:ascii="Times New Roman" w:hAnsi="Times New Roman" w:cs="Times New Roman"/>
          <w:color w:val="auto"/>
          <w:sz w:val="24"/>
          <w:szCs w:val="24"/>
        </w:rPr>
      </w:pPr>
      <w:r w:rsidRPr="00E417DB">
        <w:rPr>
          <w:rFonts w:ascii="Times New Roman" w:hAnsi="Times New Roman"/>
          <w:b/>
          <w:color w:val="auto"/>
          <w:sz w:val="24"/>
          <w:szCs w:val="24"/>
        </w:rPr>
        <w:t xml:space="preserve">Recommendations and remarks regarding “Comedy </w:t>
      </w:r>
      <w:r w:rsidR="00F51D4D" w:rsidRPr="00E417DB">
        <w:rPr>
          <w:rFonts w:ascii="Times New Roman" w:hAnsi="Times New Roman"/>
          <w:b/>
          <w:color w:val="auto"/>
          <w:sz w:val="24"/>
          <w:szCs w:val="24"/>
        </w:rPr>
        <w:t xml:space="preserve">under </w:t>
      </w:r>
      <w:r w:rsidRPr="00E417DB">
        <w:rPr>
          <w:rFonts w:ascii="Times New Roman" w:hAnsi="Times New Roman"/>
          <w:b/>
          <w:color w:val="auto"/>
          <w:sz w:val="24"/>
          <w:szCs w:val="24"/>
        </w:rPr>
        <w:t xml:space="preserve">Socialism: Playing with the Political”. </w:t>
      </w:r>
      <w:r w:rsidRPr="00E417DB">
        <w:rPr>
          <w:rFonts w:ascii="Times New Roman" w:hAnsi="Times New Roman"/>
          <w:color w:val="auto"/>
          <w:sz w:val="24"/>
          <w:szCs w:val="24"/>
        </w:rPr>
        <w:t xml:space="preserve">The first immediate impression is the considerable volume of the dissertation – although there are no strict formal requirements, the practice in this field is usually of a size </w:t>
      </w:r>
      <w:r w:rsidRPr="00E417DB">
        <w:rPr>
          <w:rFonts w:ascii="Times New Roman" w:hAnsi="Times New Roman"/>
          <w:color w:val="auto"/>
          <w:sz w:val="24"/>
          <w:szCs w:val="24"/>
        </w:rPr>
        <w:lastRenderedPageBreak/>
        <w:t xml:space="preserve">two or even three times smaller. Given the unevenness in the presentation of different periods, I believe that Vanya Petkova could have limited herself to examining only the second period, where her preferences and strengths clearly lie. The analysis of tragedy as a counterpoint to comedy is also disproportionately long. There is a certain imbalance among the authors discussed in the third chapter – </w:t>
      </w:r>
      <w:proofErr w:type="spellStart"/>
      <w:r w:rsidRPr="00E417DB">
        <w:rPr>
          <w:rFonts w:ascii="Times New Roman" w:hAnsi="Times New Roman"/>
          <w:color w:val="auto"/>
          <w:sz w:val="24"/>
          <w:szCs w:val="24"/>
        </w:rPr>
        <w:t>Georgi</w:t>
      </w:r>
      <w:proofErr w:type="spellEnd"/>
      <w:r w:rsidRPr="00E417DB">
        <w:rPr>
          <w:rFonts w:ascii="Times New Roman" w:hAnsi="Times New Roman"/>
          <w:color w:val="auto"/>
          <w:sz w:val="24"/>
          <w:szCs w:val="24"/>
        </w:rPr>
        <w:t xml:space="preserve"> Markov is overexposed (likely because he is the most recognizable model of engagement with the political), while </w:t>
      </w:r>
      <w:proofErr w:type="spellStart"/>
      <w:r w:rsidRPr="00E417DB">
        <w:rPr>
          <w:rFonts w:ascii="Times New Roman" w:hAnsi="Times New Roman"/>
          <w:color w:val="auto"/>
          <w:sz w:val="24"/>
          <w:szCs w:val="24"/>
        </w:rPr>
        <w:t>Radichkov</w:t>
      </w:r>
      <w:proofErr w:type="spellEnd"/>
      <w:r w:rsidRPr="00E417DB">
        <w:rPr>
          <w:rFonts w:ascii="Times New Roman" w:hAnsi="Times New Roman"/>
          <w:color w:val="auto"/>
          <w:sz w:val="24"/>
          <w:szCs w:val="24"/>
        </w:rPr>
        <w:t xml:space="preserve"> is more modestly included (though, of course, there is no shortage of studies devoted to him). I understand that the way the topic is framed does not necessarily require aesthetic evaluations of the plays. Still, I believe that the theatrical qualities or shortcomings of the texts should also be felt.</w:t>
      </w:r>
    </w:p>
    <w:p w14:paraId="2FAB2522" w14:textId="7A0E23CC" w:rsidR="00523C10" w:rsidRPr="00E417DB" w:rsidRDefault="00F113F8" w:rsidP="007E00B9">
      <w:pPr>
        <w:pStyle w:val="BodyText"/>
        <w:shd w:val="clear" w:color="000000" w:fill="auto"/>
        <w:spacing w:line="360" w:lineRule="auto"/>
        <w:ind w:left="0" w:firstLine="426"/>
        <w:jc w:val="both"/>
        <w:rPr>
          <w:color w:val="auto"/>
        </w:rPr>
      </w:pPr>
      <w:r w:rsidRPr="00E417DB">
        <w:rPr>
          <w:color w:val="auto"/>
        </w:rPr>
        <w:t>A final question arises. The inclusion of Konstantin Pavlov in the conclusion is entirely unexpected, as he is not mentioned until that point. If the intent is to explain why his plays are not included, such clarification would have been more appropriate in the introduction or at the beginning of Chapter Three. It is clear that this signals a direction for future research, but what is his place within this text?</w:t>
      </w:r>
    </w:p>
    <w:p w14:paraId="0B805587" w14:textId="77777777" w:rsidR="001628DA" w:rsidRPr="00E417DB" w:rsidRDefault="001628DA" w:rsidP="007E00B9">
      <w:pPr>
        <w:pStyle w:val="BodyText"/>
        <w:shd w:val="clear" w:color="000000" w:fill="auto"/>
        <w:spacing w:line="360" w:lineRule="auto"/>
        <w:ind w:left="0" w:firstLine="426"/>
        <w:jc w:val="both"/>
        <w:rPr>
          <w:color w:val="auto"/>
        </w:rPr>
      </w:pPr>
    </w:p>
    <w:p w14:paraId="707AA767" w14:textId="513FBC84" w:rsidR="005533C0" w:rsidRPr="00E417DB" w:rsidRDefault="00F113F8" w:rsidP="007E00B9">
      <w:pPr>
        <w:pStyle w:val="BodyText"/>
        <w:shd w:val="clear" w:color="000000" w:fill="auto"/>
        <w:spacing w:line="360" w:lineRule="auto"/>
        <w:ind w:left="0" w:right="287" w:firstLine="426"/>
        <w:jc w:val="both"/>
        <w:rPr>
          <w:color w:val="auto"/>
        </w:rPr>
      </w:pPr>
      <w:r w:rsidRPr="00E417DB">
        <w:rPr>
          <w:b/>
          <w:color w:val="auto"/>
        </w:rPr>
        <w:t xml:space="preserve">Conclusion. </w:t>
      </w:r>
      <w:r w:rsidRPr="00E417DB">
        <w:rPr>
          <w:color w:val="auto"/>
        </w:rPr>
        <w:t>Despite these remarks, and with full respect for what has been accomplished, I consider the dissertation</w:t>
      </w:r>
      <w:r w:rsidR="00193FDA" w:rsidRPr="00E417DB">
        <w:rPr>
          <w:color w:val="auto"/>
        </w:rPr>
        <w:t xml:space="preserve"> – </w:t>
      </w:r>
      <w:r w:rsidRPr="00E417DB">
        <w:rPr>
          <w:color w:val="auto"/>
        </w:rPr>
        <w:t>in its scope, arguments, examined examples, models, and analyses taken together</w:t>
      </w:r>
      <w:r w:rsidR="00193FDA" w:rsidRPr="00E417DB">
        <w:rPr>
          <w:color w:val="auto"/>
        </w:rPr>
        <w:t xml:space="preserve"> – </w:t>
      </w:r>
      <w:r w:rsidRPr="00E417DB">
        <w:rPr>
          <w:color w:val="auto"/>
        </w:rPr>
        <w:t>to be a highly valuable scholarly work.</w:t>
      </w:r>
    </w:p>
    <w:p w14:paraId="707AA768" w14:textId="77777777" w:rsidR="005533C0" w:rsidRPr="00E417DB" w:rsidRDefault="00F113F8" w:rsidP="007E00B9">
      <w:pPr>
        <w:pStyle w:val="BodyText"/>
        <w:shd w:val="clear" w:color="000000" w:fill="auto"/>
        <w:spacing w:line="360" w:lineRule="auto"/>
        <w:ind w:left="0" w:right="287" w:firstLine="426"/>
        <w:jc w:val="both"/>
        <w:rPr>
          <w:color w:val="auto"/>
        </w:rPr>
      </w:pPr>
      <w:r w:rsidRPr="00E417DB">
        <w:rPr>
          <w:color w:val="auto"/>
        </w:rPr>
        <w:t>I strongly recommend its publication as a separate book, of course after editorial revision.</w:t>
      </w:r>
    </w:p>
    <w:p w14:paraId="707AA76A" w14:textId="29EF9818" w:rsidR="005533C0" w:rsidRPr="00E417DB" w:rsidRDefault="00F113F8" w:rsidP="007E00B9">
      <w:pPr>
        <w:shd w:val="clear" w:color="000000" w:fill="auto"/>
        <w:spacing w:line="360" w:lineRule="auto"/>
        <w:ind w:right="287" w:firstLine="426"/>
        <w:jc w:val="both"/>
        <w:rPr>
          <w:rFonts w:ascii="Times New Roman" w:hAnsi="Times New Roman" w:cs="Times New Roman"/>
          <w:b/>
          <w:color w:val="auto"/>
          <w:sz w:val="24"/>
          <w:szCs w:val="24"/>
        </w:rPr>
      </w:pPr>
      <w:r w:rsidRPr="00E417DB">
        <w:rPr>
          <w:rFonts w:ascii="Times New Roman" w:hAnsi="Times New Roman"/>
          <w:color w:val="auto"/>
          <w:sz w:val="24"/>
          <w:szCs w:val="24"/>
        </w:rPr>
        <w:t xml:space="preserve">On this basis, I assess </w:t>
      </w:r>
      <w:r w:rsidRPr="00E417DB">
        <w:rPr>
          <w:rFonts w:ascii="Times New Roman" w:hAnsi="Times New Roman"/>
          <w:b/>
          <w:bCs/>
          <w:color w:val="auto"/>
          <w:sz w:val="24"/>
          <w:szCs w:val="24"/>
        </w:rPr>
        <w:t xml:space="preserve">“Comedy </w:t>
      </w:r>
      <w:r w:rsidR="00F51D4D" w:rsidRPr="00E417DB">
        <w:rPr>
          <w:rFonts w:ascii="Times New Roman" w:hAnsi="Times New Roman"/>
          <w:b/>
          <w:bCs/>
          <w:color w:val="auto"/>
          <w:sz w:val="24"/>
          <w:szCs w:val="24"/>
        </w:rPr>
        <w:t xml:space="preserve">under </w:t>
      </w:r>
      <w:r w:rsidRPr="00E417DB">
        <w:rPr>
          <w:rFonts w:ascii="Times New Roman" w:hAnsi="Times New Roman"/>
          <w:b/>
          <w:bCs/>
          <w:color w:val="auto"/>
          <w:sz w:val="24"/>
          <w:szCs w:val="24"/>
        </w:rPr>
        <w:t>Socialism:</w:t>
      </w:r>
      <w:r w:rsidRPr="00E417DB">
        <w:rPr>
          <w:rFonts w:ascii="Times New Roman" w:hAnsi="Times New Roman"/>
          <w:b/>
          <w:color w:val="auto"/>
          <w:sz w:val="24"/>
          <w:szCs w:val="24"/>
        </w:rPr>
        <w:t xml:space="preserve"> </w:t>
      </w:r>
      <w:r w:rsidRPr="00E417DB">
        <w:rPr>
          <w:rFonts w:ascii="Times New Roman" w:hAnsi="Times New Roman"/>
          <w:b/>
          <w:bCs/>
          <w:color w:val="auto"/>
          <w:sz w:val="24"/>
          <w:szCs w:val="24"/>
        </w:rPr>
        <w:t>Playing with the Political”</w:t>
      </w:r>
      <w:r w:rsidRPr="00E417DB">
        <w:rPr>
          <w:rFonts w:ascii="Times New Roman" w:hAnsi="Times New Roman"/>
          <w:color w:val="auto"/>
          <w:sz w:val="24"/>
          <w:szCs w:val="24"/>
        </w:rPr>
        <w:t xml:space="preserve"> as an independent study of multiple merits and</w:t>
      </w:r>
      <w:r w:rsidR="00C56138" w:rsidRPr="00E417DB">
        <w:rPr>
          <w:rFonts w:ascii="Times New Roman" w:hAnsi="Times New Roman"/>
          <w:color w:val="auto"/>
          <w:sz w:val="24"/>
          <w:szCs w:val="24"/>
        </w:rPr>
        <w:t xml:space="preserve"> propose to the members of the Academic J</w:t>
      </w:r>
      <w:r w:rsidRPr="00E417DB">
        <w:rPr>
          <w:rFonts w:ascii="Times New Roman" w:hAnsi="Times New Roman"/>
          <w:color w:val="auto"/>
          <w:sz w:val="24"/>
          <w:szCs w:val="24"/>
        </w:rPr>
        <w:t xml:space="preserve">ury that </w:t>
      </w:r>
      <w:r w:rsidRPr="00E417DB">
        <w:rPr>
          <w:rFonts w:ascii="Times New Roman" w:hAnsi="Times New Roman"/>
          <w:b/>
          <w:bCs/>
          <w:color w:val="auto"/>
          <w:sz w:val="24"/>
          <w:szCs w:val="24"/>
        </w:rPr>
        <w:t>Vanya Petkova be awar</w:t>
      </w:r>
      <w:r w:rsidR="000B4919" w:rsidRPr="00E417DB">
        <w:rPr>
          <w:rFonts w:ascii="Times New Roman" w:hAnsi="Times New Roman"/>
          <w:b/>
          <w:bCs/>
          <w:color w:val="auto"/>
          <w:sz w:val="24"/>
          <w:szCs w:val="24"/>
        </w:rPr>
        <w:t>ded the educational and scientific</w:t>
      </w:r>
      <w:r w:rsidRPr="00E417DB">
        <w:rPr>
          <w:rFonts w:ascii="Times New Roman" w:hAnsi="Times New Roman"/>
          <w:b/>
          <w:bCs/>
          <w:color w:val="auto"/>
          <w:sz w:val="24"/>
          <w:szCs w:val="24"/>
        </w:rPr>
        <w:t xml:space="preserve"> degree of Doctor in </w:t>
      </w:r>
      <w:r w:rsidR="00F51D4D" w:rsidRPr="00E417DB">
        <w:rPr>
          <w:rFonts w:ascii="Times New Roman" w:hAnsi="Times New Roman"/>
          <w:b/>
          <w:bCs/>
          <w:color w:val="auto"/>
          <w:sz w:val="24"/>
          <w:szCs w:val="24"/>
        </w:rPr>
        <w:t xml:space="preserve">professional field </w:t>
      </w:r>
      <w:r w:rsidRPr="00E417DB">
        <w:rPr>
          <w:rFonts w:ascii="Times New Roman" w:hAnsi="Times New Roman"/>
          <w:b/>
          <w:bCs/>
          <w:color w:val="auto"/>
          <w:sz w:val="24"/>
          <w:szCs w:val="24"/>
        </w:rPr>
        <w:t>8.4</w:t>
      </w:r>
      <w:r w:rsidR="007E00B9" w:rsidRPr="00E417DB">
        <w:rPr>
          <w:rFonts w:ascii="Times New Roman" w:hAnsi="Times New Roman"/>
          <w:b/>
          <w:bCs/>
          <w:color w:val="auto"/>
          <w:sz w:val="24"/>
          <w:szCs w:val="24"/>
        </w:rPr>
        <w:t>.</w:t>
      </w:r>
      <w:r w:rsidRPr="00E417DB">
        <w:rPr>
          <w:rFonts w:ascii="Times New Roman" w:hAnsi="Times New Roman"/>
          <w:b/>
          <w:bCs/>
          <w:color w:val="auto"/>
          <w:sz w:val="24"/>
          <w:szCs w:val="24"/>
        </w:rPr>
        <w:t xml:space="preserve"> Theatre and Film Arts.</w:t>
      </w:r>
      <w:r w:rsidRPr="00E417DB">
        <w:rPr>
          <w:rFonts w:ascii="Times New Roman" w:hAnsi="Times New Roman"/>
          <w:b/>
          <w:color w:val="auto"/>
          <w:sz w:val="24"/>
          <w:szCs w:val="24"/>
        </w:rPr>
        <w:t xml:space="preserve"> </w:t>
      </w:r>
    </w:p>
    <w:p w14:paraId="707AA76B" w14:textId="77777777" w:rsidR="005533C0" w:rsidRPr="00E417DB" w:rsidRDefault="005533C0" w:rsidP="007E00B9">
      <w:pPr>
        <w:pStyle w:val="BodyText"/>
        <w:shd w:val="clear" w:color="000000" w:fill="auto"/>
        <w:ind w:left="0"/>
        <w:jc w:val="both"/>
        <w:rPr>
          <w:b/>
          <w:color w:val="auto"/>
          <w:sz w:val="20"/>
        </w:rPr>
      </w:pPr>
    </w:p>
    <w:p w14:paraId="592C8734" w14:textId="77777777" w:rsidR="00302C75" w:rsidRPr="00E417DB" w:rsidRDefault="00302C75" w:rsidP="007E00B9">
      <w:pPr>
        <w:shd w:val="clear" w:color="000000" w:fill="auto"/>
        <w:jc w:val="both"/>
        <w:rPr>
          <w:rFonts w:ascii="Times New Roman" w:hAnsi="Times New Roman" w:cs="Times New Roman"/>
          <w:color w:val="auto"/>
          <w:sz w:val="24"/>
          <w:szCs w:val="24"/>
        </w:rPr>
      </w:pPr>
      <w:r w:rsidRPr="00E417DB">
        <w:rPr>
          <w:rFonts w:ascii="Times New Roman" w:hAnsi="Times New Roman"/>
          <w:color w:val="auto"/>
          <w:sz w:val="24"/>
          <w:szCs w:val="24"/>
        </w:rPr>
        <w:t xml:space="preserve"> </w:t>
      </w:r>
    </w:p>
    <w:p w14:paraId="28311BE4" w14:textId="6B67FFBE" w:rsidR="00321DEB" w:rsidRPr="00E417DB" w:rsidRDefault="00F113F8" w:rsidP="007E00B9">
      <w:pPr>
        <w:pStyle w:val="BodyText"/>
        <w:shd w:val="clear" w:color="000000" w:fill="auto"/>
        <w:ind w:left="0"/>
        <w:jc w:val="both"/>
        <w:rPr>
          <w:color w:val="auto"/>
        </w:rPr>
      </w:pPr>
      <w:r w:rsidRPr="00E417DB">
        <w:rPr>
          <w:color w:val="auto"/>
        </w:rPr>
        <w:t>Sofia, 12.08.2025</w:t>
      </w:r>
      <w:r w:rsidR="007E00B9" w:rsidRPr="00E417DB">
        <w:rPr>
          <w:color w:val="auto"/>
        </w:rPr>
        <w:t xml:space="preserve">                                                            </w:t>
      </w:r>
      <w:r w:rsidRPr="00E417DB">
        <w:rPr>
          <w:color w:val="auto"/>
        </w:rPr>
        <w:t>Respectfully,</w:t>
      </w:r>
    </w:p>
    <w:p w14:paraId="707AA76F" w14:textId="38EBAA9C" w:rsidR="005533C0" w:rsidRPr="007E00B9" w:rsidRDefault="007E00B9" w:rsidP="007E00B9">
      <w:pPr>
        <w:pStyle w:val="BodyText"/>
        <w:shd w:val="clear" w:color="000000" w:fill="auto"/>
        <w:ind w:left="0"/>
        <w:jc w:val="both"/>
        <w:rPr>
          <w:color w:val="auto"/>
        </w:rPr>
      </w:pPr>
      <w:r w:rsidRPr="00E417DB">
        <w:rPr>
          <w:color w:val="auto"/>
        </w:rPr>
        <w:t xml:space="preserve">                                                                                </w:t>
      </w:r>
      <w:bookmarkStart w:id="0" w:name="_GoBack"/>
      <w:bookmarkEnd w:id="0"/>
      <w:r w:rsidRPr="00E417DB">
        <w:rPr>
          <w:color w:val="auto"/>
        </w:rPr>
        <w:t xml:space="preserve">        </w:t>
      </w:r>
      <w:r w:rsidR="00F113F8" w:rsidRPr="00E417DB">
        <w:rPr>
          <w:color w:val="auto"/>
        </w:rPr>
        <w:t>Prof.</w:t>
      </w:r>
      <w:r w:rsidR="008267C6" w:rsidRPr="00E417DB">
        <w:rPr>
          <w:color w:val="auto"/>
        </w:rPr>
        <w:t xml:space="preserve"> </w:t>
      </w:r>
      <w:proofErr w:type="spellStart"/>
      <w:r w:rsidR="00F113F8" w:rsidRPr="00E417DB">
        <w:rPr>
          <w:color w:val="auto"/>
        </w:rPr>
        <w:t>Petya</w:t>
      </w:r>
      <w:proofErr w:type="spellEnd"/>
      <w:r w:rsidR="00F113F8" w:rsidRPr="00E417DB">
        <w:rPr>
          <w:color w:val="auto"/>
        </w:rPr>
        <w:t xml:space="preserve"> </w:t>
      </w:r>
      <w:proofErr w:type="spellStart"/>
      <w:r w:rsidR="00F113F8" w:rsidRPr="00E417DB">
        <w:rPr>
          <w:color w:val="auto"/>
        </w:rPr>
        <w:t>Alexandrova</w:t>
      </w:r>
      <w:proofErr w:type="spellEnd"/>
      <w:r w:rsidR="008267C6" w:rsidRPr="00E417DB">
        <w:rPr>
          <w:color w:val="auto"/>
        </w:rPr>
        <w:t xml:space="preserve">, </w:t>
      </w:r>
      <w:proofErr w:type="gramStart"/>
      <w:r w:rsidR="008267C6" w:rsidRPr="00E417DB">
        <w:rPr>
          <w:color w:val="auto"/>
        </w:rPr>
        <w:t>DSc</w:t>
      </w:r>
      <w:proofErr w:type="gramEnd"/>
    </w:p>
    <w:p w14:paraId="5E5A1921" w14:textId="77777777" w:rsidR="00302C75" w:rsidRPr="00523C10" w:rsidRDefault="00302C75" w:rsidP="007E00B9">
      <w:pPr>
        <w:shd w:val="clear" w:color="000000" w:fill="auto"/>
        <w:jc w:val="both"/>
        <w:rPr>
          <w:rFonts w:ascii="Times New Roman" w:hAnsi="Times New Roman" w:cs="Times New Roman"/>
          <w:color w:val="auto"/>
        </w:rPr>
      </w:pPr>
      <w:r>
        <w:rPr>
          <w:rFonts w:ascii="Times New Roman" w:hAnsi="Times New Roman"/>
          <w:color w:val="auto"/>
        </w:rPr>
        <w:t xml:space="preserve"> </w:t>
      </w:r>
    </w:p>
    <w:sectPr w:rsidR="00302C75" w:rsidRPr="00523C10" w:rsidSect="00A12A17">
      <w:footerReference w:type="default" r:id="rId10"/>
      <w:type w:val="continuous"/>
      <w:pgSz w:w="11910" w:h="16840"/>
      <w:pgMar w:top="1135" w:right="1417" w:bottom="993" w:left="1417" w:header="567" w:footer="56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A852C2" w14:textId="77777777" w:rsidR="00B6719E" w:rsidRDefault="00B6719E" w:rsidP="008B2420">
      <w:r>
        <w:separator/>
      </w:r>
    </w:p>
  </w:endnote>
  <w:endnote w:type="continuationSeparator" w:id="0">
    <w:p w14:paraId="0CE145BE" w14:textId="77777777" w:rsidR="00B6719E" w:rsidRDefault="00B6719E" w:rsidP="008B2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871452"/>
      <w:docPartObj>
        <w:docPartGallery w:val="Page Numbers (Bottom of Page)"/>
        <w:docPartUnique/>
      </w:docPartObj>
    </w:sdtPr>
    <w:sdtEndPr>
      <w:rPr>
        <w:noProof/>
      </w:rPr>
    </w:sdtEndPr>
    <w:sdtContent>
      <w:p w14:paraId="2325929A" w14:textId="03626B31" w:rsidR="008B2420" w:rsidRDefault="008B2420">
        <w:pPr>
          <w:pStyle w:val="Footer"/>
          <w:jc w:val="right"/>
        </w:pPr>
        <w:r>
          <w:fldChar w:fldCharType="begin"/>
        </w:r>
        <w:r>
          <w:instrText xml:space="preserve"> PAGE   \* MERGEFORMAT </w:instrText>
        </w:r>
        <w:r>
          <w:fldChar w:fldCharType="separate"/>
        </w:r>
        <w:r w:rsidR="00E417DB">
          <w:rPr>
            <w:noProof/>
          </w:rPr>
          <w:t>5</w:t>
        </w:r>
        <w:r>
          <w:rPr>
            <w:noProof/>
          </w:rPr>
          <w:fldChar w:fldCharType="end"/>
        </w:r>
      </w:p>
    </w:sdtContent>
  </w:sdt>
  <w:p w14:paraId="2D5DB1E2" w14:textId="77777777" w:rsidR="008B2420" w:rsidRDefault="008B24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041BE" w14:textId="77777777" w:rsidR="00B6719E" w:rsidRDefault="00B6719E" w:rsidP="008B2420">
      <w:r>
        <w:separator/>
      </w:r>
    </w:p>
  </w:footnote>
  <w:footnote w:type="continuationSeparator" w:id="0">
    <w:p w14:paraId="7B177B58" w14:textId="77777777" w:rsidR="00B6719E" w:rsidRDefault="00B6719E" w:rsidP="008B24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6113E"/>
    <w:multiLevelType w:val="hybridMultilevel"/>
    <w:tmpl w:val="47B423F4"/>
    <w:lvl w:ilvl="0" w:tplc="8F38E2CA">
      <w:start w:val="1"/>
      <w:numFmt w:val="decimal"/>
      <w:lvlText w:val="%1."/>
      <w:lvlJc w:val="left"/>
      <w:pPr>
        <w:ind w:left="476" w:hanging="360"/>
        <w:jc w:val="right"/>
      </w:pPr>
      <w:rPr>
        <w:rFonts w:ascii="Times New Roman" w:eastAsia="Times New Roman" w:hAnsi="Times New Roman" w:cs="Times New Roman" w:hint="default"/>
        <w:b w:val="0"/>
        <w:bCs w:val="0"/>
        <w:i w:val="0"/>
        <w:iCs w:val="0"/>
        <w:spacing w:val="0"/>
        <w:w w:val="100"/>
        <w:sz w:val="24"/>
        <w:szCs w:val="24"/>
        <w:lang w:val="bg-BG" w:eastAsia="en-US" w:bidi="ar-SA"/>
      </w:rPr>
    </w:lvl>
    <w:lvl w:ilvl="1" w:tplc="E37488EA">
      <w:numFmt w:val="bullet"/>
      <w:lvlText w:val="•"/>
      <w:lvlJc w:val="left"/>
      <w:pPr>
        <w:ind w:left="1404" w:hanging="360"/>
      </w:pPr>
      <w:rPr>
        <w:rFonts w:hint="default"/>
        <w:lang w:val="bg-BG" w:eastAsia="en-US" w:bidi="ar-SA"/>
      </w:rPr>
    </w:lvl>
    <w:lvl w:ilvl="2" w:tplc="DAB0135A">
      <w:numFmt w:val="bullet"/>
      <w:lvlText w:val="•"/>
      <w:lvlJc w:val="left"/>
      <w:pPr>
        <w:ind w:left="2329" w:hanging="360"/>
      </w:pPr>
      <w:rPr>
        <w:rFonts w:hint="default"/>
        <w:lang w:val="bg-BG" w:eastAsia="en-US" w:bidi="ar-SA"/>
      </w:rPr>
    </w:lvl>
    <w:lvl w:ilvl="3" w:tplc="D872488E">
      <w:numFmt w:val="bullet"/>
      <w:lvlText w:val="•"/>
      <w:lvlJc w:val="left"/>
      <w:pPr>
        <w:ind w:left="3253" w:hanging="360"/>
      </w:pPr>
      <w:rPr>
        <w:rFonts w:hint="default"/>
        <w:lang w:val="bg-BG" w:eastAsia="en-US" w:bidi="ar-SA"/>
      </w:rPr>
    </w:lvl>
    <w:lvl w:ilvl="4" w:tplc="E7EE53A8">
      <w:numFmt w:val="bullet"/>
      <w:lvlText w:val="•"/>
      <w:lvlJc w:val="left"/>
      <w:pPr>
        <w:ind w:left="4178" w:hanging="360"/>
      </w:pPr>
      <w:rPr>
        <w:rFonts w:hint="default"/>
        <w:lang w:val="bg-BG" w:eastAsia="en-US" w:bidi="ar-SA"/>
      </w:rPr>
    </w:lvl>
    <w:lvl w:ilvl="5" w:tplc="A3FC95CA">
      <w:numFmt w:val="bullet"/>
      <w:lvlText w:val="•"/>
      <w:lvlJc w:val="left"/>
      <w:pPr>
        <w:ind w:left="5103" w:hanging="360"/>
      </w:pPr>
      <w:rPr>
        <w:rFonts w:hint="default"/>
        <w:lang w:val="bg-BG" w:eastAsia="en-US" w:bidi="ar-SA"/>
      </w:rPr>
    </w:lvl>
    <w:lvl w:ilvl="6" w:tplc="EAA8EAEA">
      <w:numFmt w:val="bullet"/>
      <w:lvlText w:val="•"/>
      <w:lvlJc w:val="left"/>
      <w:pPr>
        <w:ind w:left="6027" w:hanging="360"/>
      </w:pPr>
      <w:rPr>
        <w:rFonts w:hint="default"/>
        <w:lang w:val="bg-BG" w:eastAsia="en-US" w:bidi="ar-SA"/>
      </w:rPr>
    </w:lvl>
    <w:lvl w:ilvl="7" w:tplc="99364202">
      <w:numFmt w:val="bullet"/>
      <w:lvlText w:val="•"/>
      <w:lvlJc w:val="left"/>
      <w:pPr>
        <w:ind w:left="6952" w:hanging="360"/>
      </w:pPr>
      <w:rPr>
        <w:rFonts w:hint="default"/>
        <w:lang w:val="bg-BG" w:eastAsia="en-US" w:bidi="ar-SA"/>
      </w:rPr>
    </w:lvl>
    <w:lvl w:ilvl="8" w:tplc="96E096F2">
      <w:numFmt w:val="bullet"/>
      <w:lvlText w:val="•"/>
      <w:lvlJc w:val="left"/>
      <w:pPr>
        <w:ind w:left="7877" w:hanging="360"/>
      </w:pPr>
      <w:rPr>
        <w:rFonts w:hint="default"/>
        <w:lang w:val="bg-BG"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3C0"/>
    <w:rsid w:val="0001054D"/>
    <w:rsid w:val="0004585C"/>
    <w:rsid w:val="00065E6E"/>
    <w:rsid w:val="00083290"/>
    <w:rsid w:val="0009291F"/>
    <w:rsid w:val="000B4919"/>
    <w:rsid w:val="000D5F5D"/>
    <w:rsid w:val="001628DA"/>
    <w:rsid w:val="00193FDA"/>
    <w:rsid w:val="001F137B"/>
    <w:rsid w:val="002B3616"/>
    <w:rsid w:val="00302C75"/>
    <w:rsid w:val="00321DEB"/>
    <w:rsid w:val="003E19C3"/>
    <w:rsid w:val="003F6A4D"/>
    <w:rsid w:val="00422CB8"/>
    <w:rsid w:val="005129D5"/>
    <w:rsid w:val="00523C10"/>
    <w:rsid w:val="005533C0"/>
    <w:rsid w:val="00641823"/>
    <w:rsid w:val="0066625D"/>
    <w:rsid w:val="006F4714"/>
    <w:rsid w:val="007403A9"/>
    <w:rsid w:val="007E00B9"/>
    <w:rsid w:val="00820D16"/>
    <w:rsid w:val="008267C6"/>
    <w:rsid w:val="008479BA"/>
    <w:rsid w:val="008B2420"/>
    <w:rsid w:val="00907808"/>
    <w:rsid w:val="00930162"/>
    <w:rsid w:val="00A12A17"/>
    <w:rsid w:val="00B6719E"/>
    <w:rsid w:val="00C56138"/>
    <w:rsid w:val="00DA1E9E"/>
    <w:rsid w:val="00E417DB"/>
    <w:rsid w:val="00E63466"/>
    <w:rsid w:val="00EF38A3"/>
    <w:rsid w:val="00F113F8"/>
    <w:rsid w:val="00F51D4D"/>
    <w:rsid w:val="00FE6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AA70B"/>
  <w15:docId w15:val="{46BB3144-70C3-4604-A146-40BB4AC6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6"/>
    </w:pPr>
    <w:rPr>
      <w:rFonts w:ascii="Times New Roman" w:hAnsi="Times New Roman" w:cs="Times New Roman"/>
      <w:sz w:val="24"/>
      <w:szCs w:val="24"/>
    </w:rPr>
  </w:style>
  <w:style w:type="paragraph" w:styleId="ListParagraph">
    <w:name w:val="List Paragraph"/>
    <w:basedOn w:val="Normal"/>
    <w:uiPriority w:val="1"/>
    <w:qFormat/>
    <w:pPr>
      <w:ind w:left="476" w:hanging="360"/>
    </w:pPr>
    <w:rPr>
      <w:rFonts w:ascii="Times New Roman" w:hAnsi="Times New Roman" w:cs="Times New Roman"/>
    </w:rPr>
  </w:style>
  <w:style w:type="paragraph" w:customStyle="1" w:styleId="TableParagraph">
    <w:name w:val="Table Paragraph"/>
    <w:basedOn w:val="Normal"/>
    <w:uiPriority w:val="1"/>
    <w:qFormat/>
  </w:style>
  <w:style w:type="table" w:styleId="TableGrid">
    <w:name w:val="Table Grid"/>
    <w:basedOn w:val="TableNormal"/>
    <w:uiPriority w:val="39"/>
    <w:rsid w:val="002B3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2420"/>
    <w:pPr>
      <w:tabs>
        <w:tab w:val="center" w:pos="4536"/>
        <w:tab w:val="right" w:pos="9072"/>
      </w:tabs>
    </w:pPr>
  </w:style>
  <w:style w:type="character" w:customStyle="1" w:styleId="HeaderChar">
    <w:name w:val="Header Char"/>
    <w:basedOn w:val="DefaultParagraphFont"/>
    <w:link w:val="Header"/>
    <w:uiPriority w:val="99"/>
    <w:rsid w:val="008B2420"/>
    <w:rPr>
      <w:rFonts w:ascii="Arial" w:eastAsia="Times New Roman" w:hAnsi="Arial" w:cs="Arial"/>
      <w:color w:val="000000"/>
      <w:sz w:val="20"/>
    </w:rPr>
  </w:style>
  <w:style w:type="paragraph" w:styleId="Footer">
    <w:name w:val="footer"/>
    <w:basedOn w:val="Normal"/>
    <w:link w:val="FooterChar"/>
    <w:uiPriority w:val="99"/>
    <w:unhideWhenUsed/>
    <w:rsid w:val="008B2420"/>
    <w:pPr>
      <w:tabs>
        <w:tab w:val="center" w:pos="4536"/>
        <w:tab w:val="right" w:pos="9072"/>
      </w:tabs>
    </w:pPr>
  </w:style>
  <w:style w:type="character" w:customStyle="1" w:styleId="FooterChar">
    <w:name w:val="Footer Char"/>
    <w:basedOn w:val="DefaultParagraphFont"/>
    <w:link w:val="Footer"/>
    <w:uiPriority w:val="99"/>
    <w:rsid w:val="008B2420"/>
    <w:rPr>
      <w:rFonts w:ascii="Arial" w:eastAsia="Times New Roman"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ca543eb-4228-47f1-aa26-761137b387f0" xsi:nil="true"/>
    <lcf76f155ced4ddcb4097134ff3c332f xmlns="ac42a668-aa84-4991-8a0c-b1d726e97a9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A7CA43480D7D4BA0B5E4DF7E24E14E" ma:contentTypeVersion="19" ma:contentTypeDescription="Create a new document." ma:contentTypeScope="" ma:versionID="2047b05c07874812c45fe9761fa2fa9c">
  <xsd:schema xmlns:xsd="http://www.w3.org/2001/XMLSchema" xmlns:xs="http://www.w3.org/2001/XMLSchema" xmlns:p="http://schemas.microsoft.com/office/2006/metadata/properties" xmlns:ns2="ac42a668-aa84-4991-8a0c-b1d726e97a91" xmlns:ns3="9ca543eb-4228-47f1-aa26-761137b387f0" targetNamespace="http://schemas.microsoft.com/office/2006/metadata/properties" ma:root="true" ma:fieldsID="072372bff7c42f344641ac6cd76c2527" ns2:_="" ns3:_="">
    <xsd:import namespace="ac42a668-aa84-4991-8a0c-b1d726e97a91"/>
    <xsd:import namespace="9ca543eb-4228-47f1-aa26-761137b387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42a668-aa84-4991-8a0c-b1d726e97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188280d-6a5f-48d4-a44b-cccce16574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a543eb-4228-47f1-aa26-761137b387f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Колона за класифициране &quot;Обхващане на всички&quot;" ma:hidden="true" ma:list="{eb8d2f16-7bc7-4a07-b957-43acfe44a57b}" ma:internalName="TaxCatchAll" ma:showField="CatchAllData" ma:web="9ca543eb-4228-47f1-aa26-761137b387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97277E-9A8B-4C44-9611-1C57B6F457E7}">
  <ds:schemaRefs>
    <ds:schemaRef ds:uri="http://schemas.microsoft.com/sharepoint/v3/contenttype/forms"/>
  </ds:schemaRefs>
</ds:datastoreItem>
</file>

<file path=customXml/itemProps2.xml><?xml version="1.0" encoding="utf-8"?>
<ds:datastoreItem xmlns:ds="http://schemas.openxmlformats.org/officeDocument/2006/customXml" ds:itemID="{57004729-C598-409B-ACEF-5FEAE145958D}">
  <ds:schemaRefs>
    <ds:schemaRef ds:uri="http://schemas.microsoft.com/office/2006/metadata/properties"/>
    <ds:schemaRef ds:uri="http://schemas.microsoft.com/office/infopath/2007/PartnerControls"/>
    <ds:schemaRef ds:uri="9ca543eb-4228-47f1-aa26-761137b387f0"/>
    <ds:schemaRef ds:uri="ac42a668-aa84-4991-8a0c-b1d726e97a91"/>
  </ds:schemaRefs>
</ds:datastoreItem>
</file>

<file path=customXml/itemProps3.xml><?xml version="1.0" encoding="utf-8"?>
<ds:datastoreItem xmlns:ds="http://schemas.openxmlformats.org/officeDocument/2006/customXml" ds:itemID="{2DB75B30-D91F-4989-85EC-808843A79D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42a668-aa84-4991-8a0c-b1d726e97a91"/>
    <ds:schemaRef ds:uri="9ca543eb-4228-47f1-aa26-761137b387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Pages>
  <Words>2483</Words>
  <Characters>14159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Vanya Petkova</cp:lastModifiedBy>
  <cp:revision>23</cp:revision>
  <dcterms:created xsi:type="dcterms:W3CDTF">2025-08-29T13:44:00Z</dcterms:created>
  <dcterms:modified xsi:type="dcterms:W3CDTF">2025-09-11T13:59:00Z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2025-08-12T00:00:00Z</vt:filetime>
  </property>
  <property fmtid="{D5CDD505-2E9C-101B-9397-08002B2CF9AE}" pid="3" name="Creator">
    <vt:lpwstr>Microsoft® Word 2016</vt:lpwstr>
  </property>
  <property fmtid="{D5CDD505-2E9C-101B-9397-08002B2CF9AE}" pid="4" name="LastSaved">
    <vt:filetime>2025-08-19T00:00:00Z</vt:filetime>
  </property>
  <property fmtid="{D5CDD505-2E9C-101B-9397-08002B2CF9AE}" pid="5" name="Producer">
    <vt:lpwstr>Microsoft® Word 2016</vt:lpwstr>
  </property>
  <property fmtid="{D5CDD505-2E9C-101B-9397-08002B2CF9AE}" pid="6" name="MediaServiceImageTags">
    <vt:lpwstr/>
  </property>
  <property fmtid="{D5CDD505-2E9C-101B-9397-08002B2CF9AE}" pid="7" name="ContentTypeId">
    <vt:lpwstr>0x010100F5A7CA43480D7D4BA0B5E4DF7E24E14E</vt:lpwstr>
  </property>
</Properties>
</file>